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CF143" w14:textId="77777777" w:rsidR="00E248EC" w:rsidRPr="00860876" w:rsidRDefault="00E248EC" w:rsidP="001A6976">
      <w:pPr>
        <w:jc w:val="center"/>
        <w:rPr>
          <w:rFonts w:ascii="Arial" w:hAnsi="Arial" w:cs="Arial"/>
          <w:b/>
          <w:sz w:val="32"/>
          <w:szCs w:val="32"/>
          <w:u w:val="single"/>
        </w:rPr>
      </w:pPr>
      <w:r w:rsidRPr="00860876">
        <w:rPr>
          <w:rFonts w:ascii="Arial" w:hAnsi="Arial" w:cs="Arial"/>
          <w:b/>
          <w:sz w:val="32"/>
          <w:szCs w:val="32"/>
          <w:u w:val="single"/>
        </w:rPr>
        <w:t>ΕΙΣΑΓΩΓΗ ΝΕΟΥ ΕΚΔΟΤΗ ΣΤΗ ΜΗ-ΡΥΘΜΙΖΟΜΕΝΗ ΑΓΟΡΑ (ΜΕΤΟΧΕΣ)</w:t>
      </w:r>
    </w:p>
    <w:p w14:paraId="1080978C" w14:textId="77777777" w:rsidR="00E248EC" w:rsidRPr="00D2483C" w:rsidRDefault="00E248EC" w:rsidP="00254FF4">
      <w:pPr>
        <w:jc w:val="center"/>
        <w:rPr>
          <w:rFonts w:ascii="Arial" w:hAnsi="Arial" w:cs="Arial"/>
          <w:b/>
          <w:u w:val="single"/>
        </w:rPr>
      </w:pPr>
      <w:r w:rsidRPr="00D2483C">
        <w:rPr>
          <w:rFonts w:ascii="Arial" w:hAnsi="Arial" w:cs="Arial"/>
          <w:b/>
          <w:u w:val="single"/>
        </w:rPr>
        <w:t>ΕΦΑΠΑΞ ΧΡΕΩΣΕΙΣ</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774"/>
        <w:gridCol w:w="3446"/>
      </w:tblGrid>
      <w:tr w:rsidR="00E248EC" w:rsidRPr="00FF34C3" w14:paraId="1528F42F" w14:textId="77777777" w:rsidTr="002130A7">
        <w:trPr>
          <w:cantSplit/>
          <w:trHeight w:val="138"/>
          <w:tblHeader/>
        </w:trPr>
        <w:tc>
          <w:tcPr>
            <w:tcW w:w="880" w:type="dxa"/>
            <w:shd w:val="clear" w:color="auto" w:fill="D9D9D9"/>
          </w:tcPr>
          <w:p w14:paraId="3042812B" w14:textId="77777777" w:rsidR="00E248EC" w:rsidRPr="00FF34C3" w:rsidRDefault="00E248EC" w:rsidP="006A60E2">
            <w:pPr>
              <w:keepNext/>
              <w:spacing w:before="240" w:after="120"/>
              <w:ind w:left="-16"/>
              <w:outlineLvl w:val="4"/>
              <w:rPr>
                <w:rFonts w:ascii="Arial" w:hAnsi="Arial" w:cs="Arial"/>
                <w:bCs/>
                <w:sz w:val="18"/>
                <w:szCs w:val="18"/>
              </w:rPr>
            </w:pPr>
            <w:r w:rsidRPr="00FF34C3">
              <w:rPr>
                <w:rFonts w:ascii="Arial" w:hAnsi="Arial" w:cs="Arial"/>
                <w:bCs/>
                <w:sz w:val="18"/>
                <w:szCs w:val="18"/>
              </w:rPr>
              <w:t>Α/Α</w:t>
            </w:r>
          </w:p>
        </w:tc>
        <w:tc>
          <w:tcPr>
            <w:tcW w:w="3774" w:type="dxa"/>
            <w:shd w:val="clear" w:color="auto" w:fill="D9D9D9"/>
          </w:tcPr>
          <w:p w14:paraId="02622804" w14:textId="77777777" w:rsidR="00E248EC" w:rsidRPr="00FF34C3" w:rsidRDefault="00E248EC" w:rsidP="006A60E2">
            <w:pPr>
              <w:keepNext/>
              <w:spacing w:before="240" w:after="120"/>
              <w:ind w:left="360"/>
              <w:jc w:val="center"/>
              <w:outlineLvl w:val="5"/>
              <w:rPr>
                <w:rFonts w:ascii="Arial" w:hAnsi="Arial" w:cs="Arial"/>
                <w:bCs/>
                <w:sz w:val="18"/>
                <w:szCs w:val="18"/>
              </w:rPr>
            </w:pPr>
            <w:r w:rsidRPr="00FF34C3">
              <w:rPr>
                <w:rFonts w:ascii="Arial" w:hAnsi="Arial" w:cs="Arial"/>
                <w:bCs/>
                <w:sz w:val="18"/>
                <w:szCs w:val="18"/>
              </w:rPr>
              <w:t>ΠΕΡΙΓΡΑΦΗ  ΧΡΕΩΣΗΣ</w:t>
            </w:r>
          </w:p>
        </w:tc>
        <w:tc>
          <w:tcPr>
            <w:tcW w:w="3446" w:type="dxa"/>
            <w:shd w:val="clear" w:color="auto" w:fill="D9D9D9"/>
          </w:tcPr>
          <w:p w14:paraId="0AA5C952" w14:textId="77777777" w:rsidR="00E248EC" w:rsidRPr="00FF34C3" w:rsidRDefault="00E248EC" w:rsidP="006A60E2">
            <w:pPr>
              <w:spacing w:before="120" w:after="120"/>
              <w:ind w:left="360"/>
              <w:jc w:val="center"/>
              <w:rPr>
                <w:rFonts w:ascii="Arial" w:hAnsi="Arial" w:cs="Arial"/>
                <w:bCs/>
                <w:sz w:val="18"/>
                <w:szCs w:val="18"/>
              </w:rPr>
            </w:pPr>
            <w:r w:rsidRPr="00FF34C3">
              <w:rPr>
                <w:rFonts w:ascii="Arial" w:hAnsi="Arial" w:cs="Arial"/>
                <w:bCs/>
                <w:sz w:val="18"/>
                <w:szCs w:val="18"/>
              </w:rPr>
              <w:t xml:space="preserve">ΔΙΚΑΙΩΜΑ               </w:t>
            </w:r>
          </w:p>
        </w:tc>
      </w:tr>
      <w:tr w:rsidR="00E248EC" w:rsidRPr="00FF34C3" w14:paraId="605779C0" w14:textId="77777777" w:rsidTr="002130A7">
        <w:trPr>
          <w:cantSplit/>
          <w:trHeight w:val="763"/>
        </w:trPr>
        <w:tc>
          <w:tcPr>
            <w:tcW w:w="880" w:type="dxa"/>
            <w:vMerge w:val="restart"/>
          </w:tcPr>
          <w:p w14:paraId="5F2C6BAE" w14:textId="77777777" w:rsidR="00E248EC" w:rsidRPr="00FF34C3" w:rsidRDefault="00E248EC" w:rsidP="006A60E2">
            <w:pPr>
              <w:spacing w:before="120" w:after="240"/>
              <w:rPr>
                <w:rFonts w:ascii="Arial" w:hAnsi="Arial" w:cs="Arial"/>
                <w:bCs/>
                <w:sz w:val="18"/>
                <w:szCs w:val="18"/>
              </w:rPr>
            </w:pPr>
            <w:r w:rsidRPr="00FF34C3">
              <w:rPr>
                <w:rFonts w:ascii="Arial" w:hAnsi="Arial" w:cs="Arial"/>
                <w:bCs/>
                <w:sz w:val="18"/>
                <w:szCs w:val="18"/>
              </w:rPr>
              <w:t>1.</w:t>
            </w:r>
          </w:p>
        </w:tc>
        <w:tc>
          <w:tcPr>
            <w:tcW w:w="3774" w:type="dxa"/>
          </w:tcPr>
          <w:p w14:paraId="462BE124" w14:textId="77777777" w:rsidR="00E248EC" w:rsidRPr="00FF34C3" w:rsidRDefault="00E248EC" w:rsidP="006A60E2">
            <w:pPr>
              <w:spacing w:before="120" w:after="240"/>
              <w:rPr>
                <w:rFonts w:ascii="Arial" w:hAnsi="Arial" w:cs="Arial"/>
                <w:b/>
                <w:sz w:val="18"/>
                <w:szCs w:val="18"/>
              </w:rPr>
            </w:pPr>
            <w:r w:rsidRPr="00FF34C3">
              <w:rPr>
                <w:rFonts w:ascii="Arial" w:hAnsi="Arial" w:cs="Arial"/>
                <w:b/>
                <w:sz w:val="18"/>
                <w:szCs w:val="18"/>
              </w:rPr>
              <w:t>Αίτηση για Εισαγωγή Νέου Εκδότη</w:t>
            </w:r>
          </w:p>
          <w:p w14:paraId="1C690C07" w14:textId="77777777" w:rsidR="00E248EC" w:rsidRPr="00FF34C3" w:rsidRDefault="00E248EC" w:rsidP="006A60E2">
            <w:pPr>
              <w:spacing w:before="120" w:after="240"/>
              <w:jc w:val="both"/>
              <w:rPr>
                <w:rFonts w:ascii="Arial" w:hAnsi="Arial" w:cs="Arial"/>
                <w:b/>
                <w:sz w:val="18"/>
                <w:szCs w:val="18"/>
              </w:rPr>
            </w:pPr>
            <w:r w:rsidRPr="00FF34C3">
              <w:rPr>
                <w:rFonts w:ascii="Arial" w:hAnsi="Arial" w:cs="Arial"/>
                <w:b/>
                <w:sz w:val="18"/>
                <w:szCs w:val="18"/>
              </w:rPr>
              <w:t>1.1 Αίτηση για εισαγωγή αξιών του εκδότη για πρώτη φορά</w:t>
            </w:r>
          </w:p>
        </w:tc>
        <w:tc>
          <w:tcPr>
            <w:tcW w:w="3446" w:type="dxa"/>
          </w:tcPr>
          <w:p w14:paraId="04FF3C3E" w14:textId="77777777" w:rsidR="00E248EC" w:rsidRPr="00FF34C3" w:rsidRDefault="00E248EC" w:rsidP="006A60E2">
            <w:pPr>
              <w:ind w:left="360"/>
              <w:jc w:val="center"/>
              <w:rPr>
                <w:rFonts w:ascii="Arial" w:hAnsi="Arial" w:cs="Arial"/>
                <w:b/>
                <w:sz w:val="18"/>
                <w:szCs w:val="18"/>
              </w:rPr>
            </w:pPr>
          </w:p>
          <w:p w14:paraId="4EB6C5E1" w14:textId="77777777" w:rsidR="00E248EC" w:rsidRPr="00FF34C3" w:rsidRDefault="00E248EC" w:rsidP="006A60E2">
            <w:pPr>
              <w:ind w:left="360"/>
              <w:rPr>
                <w:rFonts w:ascii="Arial" w:hAnsi="Arial" w:cs="Arial"/>
                <w:b/>
                <w:sz w:val="18"/>
                <w:szCs w:val="18"/>
              </w:rPr>
            </w:pPr>
          </w:p>
          <w:p w14:paraId="54D21AC9" w14:textId="77777777" w:rsidR="00E248EC" w:rsidRPr="00FF34C3" w:rsidRDefault="00E248EC" w:rsidP="006A60E2">
            <w:pPr>
              <w:ind w:left="360"/>
              <w:rPr>
                <w:rFonts w:ascii="Arial" w:hAnsi="Arial" w:cs="Arial"/>
                <w:b/>
                <w:sz w:val="18"/>
                <w:szCs w:val="18"/>
              </w:rPr>
            </w:pPr>
            <w:r w:rsidRPr="00FF34C3">
              <w:rPr>
                <w:rFonts w:ascii="Arial" w:hAnsi="Arial" w:cs="Arial"/>
                <w:b/>
                <w:sz w:val="18"/>
                <w:szCs w:val="18"/>
              </w:rPr>
              <w:t>€1.700</w:t>
            </w:r>
          </w:p>
          <w:p w14:paraId="1B5A66E4" w14:textId="77777777" w:rsidR="00E248EC" w:rsidRPr="00FF34C3" w:rsidRDefault="00E248EC" w:rsidP="006A60E2">
            <w:pPr>
              <w:ind w:left="360"/>
              <w:jc w:val="both"/>
              <w:rPr>
                <w:rFonts w:ascii="Arial" w:hAnsi="Arial" w:cs="Arial"/>
                <w:b/>
                <w:sz w:val="18"/>
                <w:szCs w:val="18"/>
              </w:rPr>
            </w:pPr>
            <w:r w:rsidRPr="00FF34C3">
              <w:rPr>
                <w:rFonts w:ascii="Arial" w:hAnsi="Arial" w:cs="Arial"/>
                <w:b/>
                <w:sz w:val="18"/>
                <w:szCs w:val="18"/>
              </w:rPr>
              <w:t>Σημείωση</w:t>
            </w:r>
          </w:p>
          <w:p w14:paraId="7629F272" w14:textId="77777777" w:rsidR="00E248EC" w:rsidRPr="00FF34C3" w:rsidRDefault="00E248EC" w:rsidP="00714B9C">
            <w:pPr>
              <w:numPr>
                <w:ilvl w:val="0"/>
                <w:numId w:val="1"/>
              </w:numPr>
              <w:spacing w:after="0" w:line="240" w:lineRule="auto"/>
              <w:jc w:val="both"/>
              <w:rPr>
                <w:rFonts w:ascii="Arial" w:hAnsi="Arial" w:cs="Arial"/>
                <w:b/>
                <w:sz w:val="18"/>
                <w:szCs w:val="18"/>
              </w:rPr>
            </w:pPr>
            <w:r w:rsidRPr="00FF34C3">
              <w:rPr>
                <w:rFonts w:ascii="Arial" w:hAnsi="Arial" w:cs="Arial"/>
                <w:b/>
                <w:sz w:val="18"/>
                <w:szCs w:val="18"/>
              </w:rPr>
              <w:t xml:space="preserve">Η χρέωση περιλαμβάνει την αίτηση του εκδότη (€700) και την εξέταση του Πληροφοριακού Εγγράφου Εισαγωγής (€1000) </w:t>
            </w:r>
          </w:p>
          <w:p w14:paraId="4246F367" w14:textId="77777777" w:rsidR="00E248EC" w:rsidRPr="00FF34C3" w:rsidRDefault="00E248EC" w:rsidP="00964106">
            <w:pPr>
              <w:numPr>
                <w:ilvl w:val="0"/>
                <w:numId w:val="1"/>
              </w:numPr>
              <w:spacing w:after="0" w:line="240" w:lineRule="auto"/>
              <w:jc w:val="both"/>
              <w:rPr>
                <w:rFonts w:ascii="Arial" w:hAnsi="Arial" w:cs="Arial"/>
                <w:b/>
                <w:sz w:val="18"/>
                <w:szCs w:val="18"/>
              </w:rPr>
            </w:pPr>
            <w:r w:rsidRPr="00FF34C3">
              <w:rPr>
                <w:rFonts w:ascii="Arial" w:hAnsi="Arial" w:cs="Arial"/>
                <w:b/>
                <w:sz w:val="18"/>
                <w:szCs w:val="18"/>
              </w:rPr>
              <w:t xml:space="preserve">Σε περίπτωση παράλληλης ή ταυτόχρονης εισαγωγής εκδότη όπου η αρχική εισαγωγή έγινε σε μη Ρυθμιζόμενη Αγορά άλλου Χρηματιστηρίου, θα παρέχεται 50% έκπτωση. </w:t>
            </w:r>
          </w:p>
          <w:p w14:paraId="36F49727" w14:textId="77777777" w:rsidR="00E248EC" w:rsidRPr="00FF34C3" w:rsidRDefault="00E248EC" w:rsidP="00860876">
            <w:pPr>
              <w:spacing w:after="0" w:line="240" w:lineRule="auto"/>
              <w:ind w:left="720"/>
              <w:jc w:val="both"/>
              <w:rPr>
                <w:rFonts w:ascii="Arial" w:hAnsi="Arial" w:cs="Arial"/>
                <w:b/>
                <w:sz w:val="18"/>
                <w:szCs w:val="18"/>
              </w:rPr>
            </w:pPr>
          </w:p>
        </w:tc>
      </w:tr>
      <w:tr w:rsidR="00E248EC" w:rsidRPr="00FF34C3" w14:paraId="2B520580" w14:textId="77777777" w:rsidTr="002130A7">
        <w:trPr>
          <w:cantSplit/>
          <w:trHeight w:val="763"/>
        </w:trPr>
        <w:tc>
          <w:tcPr>
            <w:tcW w:w="880" w:type="dxa"/>
            <w:vMerge/>
          </w:tcPr>
          <w:p w14:paraId="16E698A3" w14:textId="77777777" w:rsidR="00E248EC" w:rsidRPr="00FF34C3" w:rsidRDefault="00E248EC" w:rsidP="006A60E2">
            <w:pPr>
              <w:spacing w:before="120" w:after="240"/>
              <w:ind w:left="360"/>
              <w:rPr>
                <w:rFonts w:ascii="Arial" w:hAnsi="Arial" w:cs="Arial"/>
                <w:bCs/>
                <w:sz w:val="18"/>
                <w:szCs w:val="18"/>
              </w:rPr>
            </w:pPr>
          </w:p>
        </w:tc>
        <w:tc>
          <w:tcPr>
            <w:tcW w:w="3774" w:type="dxa"/>
          </w:tcPr>
          <w:p w14:paraId="277A6F8C" w14:textId="77777777" w:rsidR="00E248EC" w:rsidRPr="00FF34C3" w:rsidRDefault="00E248EC" w:rsidP="00254FF4">
            <w:pPr>
              <w:spacing w:before="120" w:after="240"/>
              <w:rPr>
                <w:rFonts w:ascii="Arial" w:hAnsi="Arial" w:cs="Arial"/>
                <w:b/>
                <w:sz w:val="18"/>
                <w:szCs w:val="18"/>
              </w:rPr>
            </w:pPr>
            <w:r w:rsidRPr="00FF34C3">
              <w:rPr>
                <w:rFonts w:ascii="Arial" w:hAnsi="Arial" w:cs="Arial"/>
                <w:b/>
                <w:sz w:val="18"/>
                <w:szCs w:val="18"/>
              </w:rPr>
              <w:t xml:space="preserve">1.2  Έκδοση Ανακοίνωσης για την Ημερομηνία Έναρξης Διαπραγμάτευσης των Αξιών </w:t>
            </w:r>
          </w:p>
        </w:tc>
        <w:tc>
          <w:tcPr>
            <w:tcW w:w="3446" w:type="dxa"/>
          </w:tcPr>
          <w:p w14:paraId="1F160888" w14:textId="77777777" w:rsidR="00E248EC" w:rsidRPr="00FF34C3" w:rsidRDefault="00E248EC" w:rsidP="00254FF4">
            <w:pPr>
              <w:spacing w:before="120" w:after="240"/>
              <w:rPr>
                <w:rFonts w:ascii="Arial" w:hAnsi="Arial" w:cs="Arial"/>
                <w:b/>
                <w:sz w:val="18"/>
                <w:szCs w:val="18"/>
              </w:rPr>
            </w:pPr>
            <w:r w:rsidRPr="00FF34C3">
              <w:rPr>
                <w:rFonts w:ascii="Arial" w:hAnsi="Arial" w:cs="Arial"/>
                <w:b/>
                <w:sz w:val="18"/>
                <w:szCs w:val="18"/>
              </w:rPr>
              <w:t>€1.300 πάγιο και €100 ανά €1 εκ. κατά αναλογία υπολογιζόμενο στη χρηματιστηριακή αξία των αξιών</w:t>
            </w:r>
          </w:p>
        </w:tc>
      </w:tr>
    </w:tbl>
    <w:p w14:paraId="04A9CCE8" w14:textId="77777777" w:rsidR="00E248EC" w:rsidRDefault="00E248EC" w:rsidP="001A6976">
      <w:pPr>
        <w:jc w:val="center"/>
        <w:rPr>
          <w:rFonts w:ascii="Arial" w:hAnsi="Arial" w:cs="Arial"/>
          <w:b/>
          <w:sz w:val="32"/>
          <w:szCs w:val="32"/>
          <w:u w:val="single"/>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2"/>
        <w:gridCol w:w="4258"/>
      </w:tblGrid>
      <w:tr w:rsidR="00E248EC" w:rsidRPr="00FF34C3" w14:paraId="49C0784B" w14:textId="77777777" w:rsidTr="00D701CE">
        <w:tc>
          <w:tcPr>
            <w:tcW w:w="3842" w:type="dxa"/>
          </w:tcPr>
          <w:p w14:paraId="012685C0" w14:textId="77777777" w:rsidR="00E248EC" w:rsidRPr="00FF34C3" w:rsidRDefault="00E248EC" w:rsidP="00D701CE">
            <w:pPr>
              <w:spacing w:before="120"/>
              <w:jc w:val="both"/>
              <w:rPr>
                <w:rFonts w:ascii="Arial" w:hAnsi="Arial" w:cs="Arial"/>
                <w:b/>
                <w:sz w:val="18"/>
                <w:szCs w:val="18"/>
              </w:rPr>
            </w:pPr>
            <w:r w:rsidRPr="00FF34C3">
              <w:rPr>
                <w:rFonts w:ascii="Arial" w:hAnsi="Arial" w:cs="Arial"/>
                <w:b/>
                <w:sz w:val="18"/>
                <w:szCs w:val="18"/>
              </w:rPr>
              <w:t>Ενσωμάτωση αξιών στο ήδη υφιστάμενο κεφάλαιο / ανάληψη μητρώου νέου εκδότη στη Ν.Ε.Α</w:t>
            </w:r>
          </w:p>
        </w:tc>
        <w:tc>
          <w:tcPr>
            <w:tcW w:w="4258" w:type="dxa"/>
          </w:tcPr>
          <w:p w14:paraId="3DE5C355" w14:textId="77777777" w:rsidR="00E248EC" w:rsidRPr="00FF34C3" w:rsidRDefault="00E248EC" w:rsidP="00D701CE">
            <w:pPr>
              <w:spacing w:before="120"/>
              <w:jc w:val="both"/>
              <w:rPr>
                <w:rFonts w:ascii="Arial" w:hAnsi="Arial" w:cs="Arial"/>
                <w:b/>
                <w:sz w:val="18"/>
                <w:szCs w:val="18"/>
              </w:rPr>
            </w:pPr>
            <w:r w:rsidRPr="00FF34C3">
              <w:rPr>
                <w:rFonts w:ascii="Arial" w:hAnsi="Arial" w:cs="Arial"/>
                <w:b/>
                <w:sz w:val="18"/>
                <w:szCs w:val="18"/>
              </w:rPr>
              <w:t>0,01%</w:t>
            </w:r>
          </w:p>
          <w:p w14:paraId="328370A4" w14:textId="77777777" w:rsidR="00E248EC" w:rsidRPr="00FF34C3" w:rsidRDefault="00E248EC" w:rsidP="00D701CE">
            <w:pPr>
              <w:spacing w:before="120"/>
              <w:jc w:val="both"/>
              <w:rPr>
                <w:rFonts w:ascii="Arial" w:hAnsi="Arial" w:cs="Arial"/>
                <w:b/>
                <w:sz w:val="18"/>
                <w:szCs w:val="18"/>
              </w:rPr>
            </w:pPr>
            <w:r w:rsidRPr="00FF34C3">
              <w:rPr>
                <w:rFonts w:ascii="Arial" w:hAnsi="Arial" w:cs="Arial"/>
                <w:b/>
                <w:sz w:val="18"/>
                <w:szCs w:val="18"/>
              </w:rPr>
              <w:t>Ελάχιστη χρέωση €1.000</w:t>
            </w:r>
          </w:p>
          <w:p w14:paraId="778523EF" w14:textId="77777777" w:rsidR="00E248EC" w:rsidRPr="00FF34C3" w:rsidRDefault="00E248EC" w:rsidP="00D701CE">
            <w:pPr>
              <w:spacing w:before="120"/>
              <w:jc w:val="both"/>
              <w:rPr>
                <w:rFonts w:ascii="Arial" w:hAnsi="Arial" w:cs="Arial"/>
                <w:b/>
                <w:sz w:val="18"/>
                <w:szCs w:val="18"/>
              </w:rPr>
            </w:pPr>
            <w:r w:rsidRPr="00FF34C3">
              <w:rPr>
                <w:rFonts w:ascii="Arial" w:hAnsi="Arial" w:cs="Arial"/>
                <w:b/>
                <w:sz w:val="18"/>
                <w:szCs w:val="18"/>
              </w:rPr>
              <w:t>Μέγιστη χρέωση €</w:t>
            </w:r>
            <w:r w:rsidRPr="00FF34C3">
              <w:rPr>
                <w:rFonts w:ascii="Arial" w:hAnsi="Arial" w:cs="Arial"/>
                <w:b/>
                <w:sz w:val="18"/>
                <w:szCs w:val="18"/>
                <w:lang w:val="en-US"/>
              </w:rPr>
              <w:t>5</w:t>
            </w:r>
            <w:r w:rsidRPr="00FF34C3">
              <w:rPr>
                <w:rFonts w:ascii="Arial" w:hAnsi="Arial" w:cs="Arial"/>
                <w:b/>
                <w:sz w:val="18"/>
                <w:szCs w:val="18"/>
              </w:rPr>
              <w:t>.000</w:t>
            </w:r>
          </w:p>
        </w:tc>
      </w:tr>
      <w:tr w:rsidR="00E248EC" w:rsidRPr="00FF34C3" w14:paraId="0CE58834" w14:textId="77777777" w:rsidTr="00D701CE">
        <w:tc>
          <w:tcPr>
            <w:tcW w:w="8100" w:type="dxa"/>
            <w:gridSpan w:val="2"/>
          </w:tcPr>
          <w:p w14:paraId="77D3A172" w14:textId="77777777" w:rsidR="00E248EC" w:rsidRPr="00FF34C3" w:rsidRDefault="00E248EC" w:rsidP="00D701CE">
            <w:pPr>
              <w:spacing w:before="120"/>
              <w:jc w:val="both"/>
              <w:rPr>
                <w:rFonts w:ascii="Arial" w:hAnsi="Arial" w:cs="Arial"/>
                <w:b/>
                <w:sz w:val="18"/>
                <w:szCs w:val="18"/>
              </w:rPr>
            </w:pPr>
            <w:r w:rsidRPr="00FF34C3">
              <w:rPr>
                <w:rFonts w:ascii="Arial" w:hAnsi="Arial" w:cs="Arial"/>
                <w:b/>
                <w:sz w:val="18"/>
                <w:szCs w:val="18"/>
              </w:rPr>
              <w:t>Σημείωση: ως συνολική αξία επί της οποίας υπολογίζεται η χρέωση για τις περιπτώσεις εισαγωγής νέου εκδότη, αύξησης μετοχικού κεφαλαίου για Εκδότες στη Ν.Ε.Α., λαμβάνεται υπόψη το γινόμενο της τιμής διάθεσης επί τον αριθμό των αξιών και στην περίπτωση που γίνεται με δωρεάν μετοχές λαμβάνεται υπόψη το γινόμενο της ονομαστικής αξίας κάθε  μετοχής επί τον αριθμό των μετοχών</w:t>
            </w:r>
          </w:p>
        </w:tc>
      </w:tr>
    </w:tbl>
    <w:p w14:paraId="5CA6FB0C" w14:textId="77777777" w:rsidR="00E248EC" w:rsidRDefault="00E248EC" w:rsidP="001A6976">
      <w:pPr>
        <w:jc w:val="center"/>
        <w:rPr>
          <w:rFonts w:ascii="Arial" w:hAnsi="Arial" w:cs="Arial"/>
          <w:b/>
          <w:sz w:val="32"/>
          <w:szCs w:val="32"/>
          <w:u w:val="single"/>
        </w:rPr>
      </w:pPr>
    </w:p>
    <w:p w14:paraId="0CF9D221" w14:textId="77777777" w:rsidR="00E248EC" w:rsidRDefault="00E248EC" w:rsidP="001A6976">
      <w:pPr>
        <w:jc w:val="center"/>
        <w:rPr>
          <w:rFonts w:ascii="Arial" w:hAnsi="Arial" w:cs="Arial"/>
          <w:b/>
          <w:sz w:val="32"/>
          <w:szCs w:val="32"/>
          <w:u w:val="single"/>
        </w:rPr>
      </w:pPr>
    </w:p>
    <w:p w14:paraId="66FEFC80" w14:textId="77777777" w:rsidR="00E248EC" w:rsidRDefault="00E248EC" w:rsidP="001A6976">
      <w:pPr>
        <w:jc w:val="center"/>
        <w:rPr>
          <w:rFonts w:ascii="Arial" w:hAnsi="Arial" w:cs="Arial"/>
          <w:b/>
          <w:sz w:val="32"/>
          <w:szCs w:val="32"/>
          <w:u w:val="single"/>
        </w:rPr>
      </w:pPr>
    </w:p>
    <w:p w14:paraId="5F29A366" w14:textId="77777777" w:rsidR="00E248EC" w:rsidRDefault="00E248EC" w:rsidP="001A6976">
      <w:pPr>
        <w:jc w:val="center"/>
        <w:rPr>
          <w:rFonts w:ascii="Arial" w:hAnsi="Arial" w:cs="Arial"/>
          <w:b/>
          <w:sz w:val="32"/>
          <w:szCs w:val="32"/>
          <w:u w:val="single"/>
        </w:rPr>
      </w:pPr>
    </w:p>
    <w:p w14:paraId="5B6E6548" w14:textId="77777777" w:rsidR="00E248EC" w:rsidRDefault="00E248EC" w:rsidP="001A6976">
      <w:pPr>
        <w:jc w:val="center"/>
        <w:rPr>
          <w:rFonts w:ascii="Arial" w:hAnsi="Arial" w:cs="Arial"/>
          <w:b/>
          <w:sz w:val="32"/>
          <w:szCs w:val="32"/>
          <w:u w:val="single"/>
        </w:rPr>
      </w:pPr>
    </w:p>
    <w:p w14:paraId="35306435" w14:textId="77777777" w:rsidR="00E248EC" w:rsidRPr="002130A7" w:rsidRDefault="00E248EC" w:rsidP="001A6976">
      <w:pPr>
        <w:jc w:val="center"/>
        <w:rPr>
          <w:rFonts w:ascii="Arial" w:hAnsi="Arial" w:cs="Arial"/>
          <w:b/>
          <w:sz w:val="32"/>
          <w:szCs w:val="32"/>
          <w:u w:val="single"/>
        </w:rPr>
      </w:pPr>
    </w:p>
    <w:p w14:paraId="1C81120F" w14:textId="77777777" w:rsidR="00E248EC" w:rsidRPr="00D2483C" w:rsidRDefault="00E248EC" w:rsidP="00254FF4">
      <w:pPr>
        <w:jc w:val="center"/>
        <w:rPr>
          <w:rFonts w:ascii="Arial" w:hAnsi="Arial" w:cs="Arial"/>
          <w:b/>
          <w:u w:val="single"/>
        </w:rPr>
      </w:pPr>
      <w:r>
        <w:rPr>
          <w:rFonts w:ascii="Arial" w:hAnsi="Arial" w:cs="Arial"/>
          <w:b/>
          <w:u w:val="single"/>
        </w:rPr>
        <w:lastRenderedPageBreak/>
        <w:t>ΕΤΗΣΙΑ ΔΙΚΑΙΩΜΑΤΑ</w:t>
      </w:r>
    </w:p>
    <w:p w14:paraId="1E9E83E5" w14:textId="77777777" w:rsidR="00E248EC" w:rsidRPr="002130A7" w:rsidRDefault="00E248EC" w:rsidP="002130A7">
      <w:pPr>
        <w:rPr>
          <w:rFonts w:ascii="Arial" w:hAnsi="Arial" w:cs="Arial"/>
          <w:b/>
          <w:sz w:val="18"/>
          <w:szCs w:val="18"/>
          <w:u w:val="single"/>
        </w:rPr>
      </w:pPr>
      <w:r w:rsidRPr="002130A7">
        <w:rPr>
          <w:rFonts w:ascii="Arial" w:hAnsi="Arial" w:cs="Arial"/>
          <w:b/>
          <w:sz w:val="18"/>
          <w:szCs w:val="18"/>
          <w:u w:val="single"/>
        </w:rPr>
        <w:t>ΧΡΕΩΣΕΙΣ ΓΙΑ ΕΤΗΣΙΑ ΣΥΝΔΡΟΜΗ  ΕΚΔΟΤΗ  ΣΤΟ Χ.Α.Κ.</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340"/>
        <w:gridCol w:w="2160"/>
      </w:tblGrid>
      <w:tr w:rsidR="00E248EC" w:rsidRPr="00FF34C3" w14:paraId="06EEF717" w14:textId="77777777" w:rsidTr="00254FF4">
        <w:trPr>
          <w:trHeight w:val="307"/>
        </w:trPr>
        <w:tc>
          <w:tcPr>
            <w:tcW w:w="3600" w:type="dxa"/>
            <w:vAlign w:val="center"/>
          </w:tcPr>
          <w:p w14:paraId="4236B5BE" w14:textId="77777777" w:rsidR="00E248EC" w:rsidRPr="00FF34C3" w:rsidRDefault="00E248EC" w:rsidP="00254FF4">
            <w:pPr>
              <w:spacing w:after="0" w:line="240" w:lineRule="auto"/>
              <w:jc w:val="center"/>
              <w:rPr>
                <w:rFonts w:ascii="Arial" w:hAnsi="Arial" w:cs="Arial"/>
                <w:b/>
                <w:sz w:val="32"/>
                <w:szCs w:val="32"/>
                <w:u w:val="single"/>
              </w:rPr>
            </w:pPr>
            <w:r w:rsidRPr="00FF34C3">
              <w:rPr>
                <w:rFonts w:ascii="Arial" w:hAnsi="Arial" w:cs="Arial"/>
                <w:b/>
                <w:bCs/>
                <w:sz w:val="18"/>
                <w:szCs w:val="18"/>
              </w:rPr>
              <w:t>ΠΕΡΙΓΡΑΦΗ  ΧΡΕΩΣΗΣ</w:t>
            </w:r>
          </w:p>
        </w:tc>
        <w:tc>
          <w:tcPr>
            <w:tcW w:w="4500" w:type="dxa"/>
            <w:gridSpan w:val="2"/>
            <w:vAlign w:val="center"/>
          </w:tcPr>
          <w:p w14:paraId="47E713CA" w14:textId="77777777" w:rsidR="00E248EC" w:rsidRPr="00FF34C3" w:rsidRDefault="00E248EC" w:rsidP="00254FF4">
            <w:pPr>
              <w:spacing w:after="0" w:line="240" w:lineRule="auto"/>
              <w:jc w:val="center"/>
              <w:rPr>
                <w:rFonts w:ascii="Arial" w:hAnsi="Arial" w:cs="Arial"/>
                <w:b/>
                <w:sz w:val="32"/>
                <w:szCs w:val="32"/>
                <w:u w:val="single"/>
              </w:rPr>
            </w:pPr>
            <w:r w:rsidRPr="00FF34C3">
              <w:rPr>
                <w:rFonts w:ascii="Arial" w:hAnsi="Arial" w:cs="Arial"/>
                <w:b/>
                <w:bCs/>
                <w:sz w:val="18"/>
                <w:szCs w:val="18"/>
              </w:rPr>
              <w:t>ΔΙΚΑΙΩΜΑ</w:t>
            </w:r>
          </w:p>
        </w:tc>
      </w:tr>
      <w:tr w:rsidR="00E248EC" w:rsidRPr="00FF34C3" w14:paraId="38EFF5C8" w14:textId="77777777" w:rsidTr="00254FF4">
        <w:trPr>
          <w:trHeight w:val="567"/>
        </w:trPr>
        <w:tc>
          <w:tcPr>
            <w:tcW w:w="3600" w:type="dxa"/>
            <w:vMerge w:val="restart"/>
          </w:tcPr>
          <w:p w14:paraId="1889E481" w14:textId="77777777" w:rsidR="00E248EC" w:rsidRDefault="00E248EC" w:rsidP="00FF34C3">
            <w:pPr>
              <w:spacing w:after="0" w:line="240" w:lineRule="auto"/>
              <w:rPr>
                <w:rFonts w:ascii="Arial" w:hAnsi="Arial" w:cs="Arial"/>
                <w:b/>
                <w:sz w:val="18"/>
                <w:szCs w:val="18"/>
              </w:rPr>
            </w:pPr>
          </w:p>
          <w:p w14:paraId="7D0FF6B6" w14:textId="77777777" w:rsidR="00E248EC" w:rsidRPr="00FF34C3" w:rsidRDefault="00E248EC" w:rsidP="00FF34C3">
            <w:pPr>
              <w:spacing w:after="0" w:line="240" w:lineRule="auto"/>
              <w:rPr>
                <w:rFonts w:ascii="Arial" w:hAnsi="Arial" w:cs="Arial"/>
                <w:b/>
                <w:sz w:val="18"/>
                <w:szCs w:val="18"/>
              </w:rPr>
            </w:pPr>
            <w:r w:rsidRPr="00FF34C3">
              <w:rPr>
                <w:rFonts w:ascii="Arial" w:hAnsi="Arial" w:cs="Arial"/>
                <w:b/>
                <w:sz w:val="18"/>
                <w:szCs w:val="18"/>
              </w:rPr>
              <w:t xml:space="preserve">Ετήσια Συνδρομή Εκδότη </w:t>
            </w:r>
          </w:p>
          <w:p w14:paraId="687899C1" w14:textId="77777777" w:rsidR="00E248EC" w:rsidRPr="00FF34C3" w:rsidRDefault="00E248EC" w:rsidP="00FF34C3">
            <w:pPr>
              <w:spacing w:after="0" w:line="240" w:lineRule="auto"/>
              <w:rPr>
                <w:rFonts w:ascii="Arial" w:hAnsi="Arial" w:cs="Arial"/>
                <w:b/>
                <w:sz w:val="18"/>
                <w:szCs w:val="18"/>
              </w:rPr>
            </w:pPr>
            <w:r w:rsidRPr="00FF34C3">
              <w:rPr>
                <w:rFonts w:ascii="Arial" w:hAnsi="Arial" w:cs="Arial"/>
                <w:b/>
                <w:sz w:val="18"/>
                <w:szCs w:val="18"/>
              </w:rPr>
              <w:t>για Εισηγμένους Τίτλους Πληρωτέα σε Τριμηνιαία Βάση</w:t>
            </w:r>
          </w:p>
          <w:p w14:paraId="75AF61D8" w14:textId="77777777" w:rsidR="00E248EC" w:rsidRPr="00FF34C3" w:rsidRDefault="00E248EC" w:rsidP="00FF34C3">
            <w:pPr>
              <w:tabs>
                <w:tab w:val="center" w:pos="4153"/>
                <w:tab w:val="right" w:pos="8306"/>
              </w:tabs>
              <w:spacing w:before="120" w:after="0" w:line="240" w:lineRule="auto"/>
              <w:rPr>
                <w:rFonts w:ascii="Arial" w:hAnsi="Arial" w:cs="Arial"/>
                <w:b/>
                <w:sz w:val="18"/>
                <w:szCs w:val="18"/>
              </w:rPr>
            </w:pPr>
            <w:r w:rsidRPr="00FF34C3">
              <w:rPr>
                <w:rFonts w:ascii="Arial" w:hAnsi="Arial" w:cs="Arial"/>
                <w:b/>
                <w:sz w:val="18"/>
                <w:szCs w:val="18"/>
              </w:rPr>
              <w:t xml:space="preserve">Οι εκδότες που έχουν τίτλους εισηγμένους στη Ν.Ε.Α., εισφέρουν ένα ετήσιο ποσό για κάθε εισηγμένο τίτλο χωριστά, με βάση τη χρηματιστηριακή αξία </w:t>
            </w:r>
            <w:r w:rsidRPr="00FF34C3">
              <w:rPr>
                <w:rFonts w:ascii="Arial" w:hAnsi="Arial" w:cs="Arial"/>
                <w:b/>
                <w:sz w:val="18"/>
                <w:szCs w:val="18"/>
                <w:vertAlign w:val="superscript"/>
              </w:rPr>
              <w:t>4, 5</w:t>
            </w:r>
            <w:r w:rsidRPr="00FF34C3">
              <w:rPr>
                <w:rFonts w:ascii="Arial" w:hAnsi="Arial" w:cs="Arial"/>
                <w:b/>
                <w:sz w:val="18"/>
                <w:szCs w:val="18"/>
              </w:rPr>
              <w:t>, το οποίο θα υπολογίζεται ανά τρίμηνο</w:t>
            </w:r>
            <w:r w:rsidRPr="00FF34C3">
              <w:rPr>
                <w:rFonts w:ascii="Arial" w:hAnsi="Arial" w:cs="Arial"/>
                <w:b/>
                <w:sz w:val="18"/>
                <w:szCs w:val="18"/>
                <w:vertAlign w:val="superscript"/>
              </w:rPr>
              <w:t>3</w:t>
            </w:r>
            <w:r w:rsidRPr="00FF34C3">
              <w:rPr>
                <w:rFonts w:ascii="Arial" w:hAnsi="Arial" w:cs="Arial"/>
                <w:b/>
                <w:sz w:val="18"/>
                <w:szCs w:val="18"/>
              </w:rPr>
              <w:t xml:space="preserve"> ως ακολούθως:</w:t>
            </w:r>
          </w:p>
          <w:p w14:paraId="6449886A" w14:textId="77777777" w:rsidR="00E248EC" w:rsidRPr="00FF34C3" w:rsidRDefault="00E248EC" w:rsidP="00FF34C3">
            <w:pPr>
              <w:spacing w:after="0" w:line="240" w:lineRule="auto"/>
              <w:rPr>
                <w:rFonts w:ascii="Arial" w:hAnsi="Arial" w:cs="Arial"/>
                <w:b/>
                <w:sz w:val="32"/>
                <w:szCs w:val="32"/>
                <w:u w:val="single"/>
              </w:rPr>
            </w:pPr>
          </w:p>
        </w:tc>
        <w:tc>
          <w:tcPr>
            <w:tcW w:w="2340" w:type="dxa"/>
            <w:vAlign w:val="center"/>
          </w:tcPr>
          <w:p w14:paraId="7403288A" w14:textId="77777777" w:rsidR="00E248EC" w:rsidRPr="00FF34C3" w:rsidRDefault="00E248EC" w:rsidP="00254FF4">
            <w:pPr>
              <w:spacing w:after="0" w:line="240" w:lineRule="auto"/>
              <w:ind w:left="360"/>
              <w:jc w:val="center"/>
              <w:rPr>
                <w:rFonts w:ascii="Arial" w:hAnsi="Arial" w:cs="Arial"/>
                <w:b/>
                <w:sz w:val="32"/>
                <w:szCs w:val="32"/>
                <w:u w:val="single"/>
              </w:rPr>
            </w:pPr>
            <w:r w:rsidRPr="00FF34C3">
              <w:rPr>
                <w:rFonts w:ascii="Arial" w:hAnsi="Arial" w:cs="Arial"/>
                <w:b/>
                <w:sz w:val="18"/>
                <w:szCs w:val="18"/>
              </w:rPr>
              <w:t>έως €10 εκ.</w:t>
            </w:r>
          </w:p>
        </w:tc>
        <w:tc>
          <w:tcPr>
            <w:tcW w:w="2160" w:type="dxa"/>
            <w:vAlign w:val="center"/>
          </w:tcPr>
          <w:p w14:paraId="383734C3" w14:textId="77777777" w:rsidR="00E248EC" w:rsidRPr="00FF34C3" w:rsidRDefault="00E248EC" w:rsidP="00254FF4">
            <w:pPr>
              <w:spacing w:after="0" w:line="240" w:lineRule="auto"/>
              <w:rPr>
                <w:rFonts w:ascii="Arial" w:hAnsi="Arial" w:cs="Arial"/>
                <w:b/>
                <w:sz w:val="32"/>
                <w:szCs w:val="32"/>
                <w:u w:val="single"/>
              </w:rPr>
            </w:pPr>
            <w:r w:rsidRPr="00FF34C3">
              <w:rPr>
                <w:rFonts w:ascii="Arial" w:hAnsi="Arial" w:cs="Arial"/>
                <w:b/>
                <w:sz w:val="18"/>
                <w:szCs w:val="18"/>
              </w:rPr>
              <w:t>€500 (Ετήσια χρέωση €2.000)</w:t>
            </w:r>
          </w:p>
        </w:tc>
      </w:tr>
      <w:tr w:rsidR="00E248EC" w:rsidRPr="00FF34C3" w14:paraId="55B29C53" w14:textId="77777777" w:rsidTr="00254FF4">
        <w:trPr>
          <w:trHeight w:val="561"/>
        </w:trPr>
        <w:tc>
          <w:tcPr>
            <w:tcW w:w="3600" w:type="dxa"/>
            <w:vMerge/>
          </w:tcPr>
          <w:p w14:paraId="68B4C46F" w14:textId="77777777" w:rsidR="00E248EC" w:rsidRPr="00FF34C3" w:rsidRDefault="00E248EC" w:rsidP="00FF34C3">
            <w:pPr>
              <w:spacing w:after="0" w:line="240" w:lineRule="auto"/>
              <w:rPr>
                <w:rFonts w:ascii="Arial" w:hAnsi="Arial" w:cs="Arial"/>
                <w:b/>
                <w:sz w:val="32"/>
                <w:szCs w:val="32"/>
                <w:u w:val="single"/>
              </w:rPr>
            </w:pPr>
          </w:p>
        </w:tc>
        <w:tc>
          <w:tcPr>
            <w:tcW w:w="2340" w:type="dxa"/>
            <w:vAlign w:val="center"/>
          </w:tcPr>
          <w:p w14:paraId="79E0BACD" w14:textId="77777777" w:rsidR="00E248EC" w:rsidRPr="00FF34C3" w:rsidRDefault="00E248EC" w:rsidP="00254FF4">
            <w:pPr>
              <w:spacing w:after="0" w:line="240" w:lineRule="auto"/>
              <w:jc w:val="center"/>
              <w:rPr>
                <w:rFonts w:ascii="Arial" w:hAnsi="Arial" w:cs="Arial"/>
                <w:b/>
                <w:sz w:val="32"/>
                <w:szCs w:val="32"/>
                <w:u w:val="single"/>
              </w:rPr>
            </w:pPr>
            <w:r w:rsidRPr="00FF34C3">
              <w:rPr>
                <w:rFonts w:ascii="Arial" w:hAnsi="Arial" w:cs="Arial"/>
                <w:b/>
                <w:sz w:val="18"/>
                <w:szCs w:val="18"/>
              </w:rPr>
              <w:t>€10 εκ.- €20 εκ.</w:t>
            </w:r>
          </w:p>
        </w:tc>
        <w:tc>
          <w:tcPr>
            <w:tcW w:w="2160" w:type="dxa"/>
            <w:vAlign w:val="center"/>
          </w:tcPr>
          <w:p w14:paraId="3D6B3A91" w14:textId="77777777" w:rsidR="00E248EC" w:rsidRPr="00FF34C3" w:rsidRDefault="00E248EC" w:rsidP="00254FF4">
            <w:pPr>
              <w:spacing w:after="0" w:line="240" w:lineRule="auto"/>
              <w:rPr>
                <w:rFonts w:ascii="Arial" w:hAnsi="Arial" w:cs="Arial"/>
                <w:b/>
                <w:sz w:val="32"/>
                <w:szCs w:val="32"/>
                <w:u w:val="single"/>
              </w:rPr>
            </w:pPr>
            <w:r w:rsidRPr="00FF34C3">
              <w:rPr>
                <w:rFonts w:ascii="Arial" w:hAnsi="Arial" w:cs="Arial"/>
                <w:b/>
                <w:sz w:val="18"/>
                <w:szCs w:val="18"/>
              </w:rPr>
              <w:t>€750 (Ετήσια χρέωση €3.000)</w:t>
            </w:r>
          </w:p>
        </w:tc>
      </w:tr>
      <w:tr w:rsidR="00E248EC" w:rsidRPr="00FF34C3" w14:paraId="653AF247" w14:textId="77777777" w:rsidTr="00254FF4">
        <w:trPr>
          <w:trHeight w:val="555"/>
        </w:trPr>
        <w:tc>
          <w:tcPr>
            <w:tcW w:w="3600" w:type="dxa"/>
            <w:vMerge/>
          </w:tcPr>
          <w:p w14:paraId="4023F937" w14:textId="77777777" w:rsidR="00E248EC" w:rsidRPr="00FF34C3" w:rsidRDefault="00E248EC" w:rsidP="00FF34C3">
            <w:pPr>
              <w:spacing w:after="0" w:line="240" w:lineRule="auto"/>
              <w:rPr>
                <w:rFonts w:ascii="Arial" w:hAnsi="Arial" w:cs="Arial"/>
                <w:b/>
                <w:sz w:val="32"/>
                <w:szCs w:val="32"/>
                <w:u w:val="single"/>
              </w:rPr>
            </w:pPr>
          </w:p>
        </w:tc>
        <w:tc>
          <w:tcPr>
            <w:tcW w:w="2340" w:type="dxa"/>
            <w:vAlign w:val="center"/>
          </w:tcPr>
          <w:p w14:paraId="3F1C7D62" w14:textId="77777777" w:rsidR="00E248EC" w:rsidRPr="00FF34C3" w:rsidRDefault="00E248EC" w:rsidP="00254FF4">
            <w:pPr>
              <w:spacing w:after="0" w:line="240" w:lineRule="auto"/>
              <w:jc w:val="center"/>
              <w:rPr>
                <w:rFonts w:ascii="Arial" w:hAnsi="Arial" w:cs="Arial"/>
                <w:b/>
                <w:sz w:val="32"/>
                <w:szCs w:val="32"/>
                <w:u w:val="single"/>
              </w:rPr>
            </w:pPr>
            <w:r w:rsidRPr="00FF34C3">
              <w:rPr>
                <w:rFonts w:ascii="Arial" w:hAnsi="Arial" w:cs="Arial"/>
                <w:b/>
                <w:sz w:val="18"/>
                <w:szCs w:val="18"/>
              </w:rPr>
              <w:t>€20 εκ.- €40 εκ</w:t>
            </w:r>
          </w:p>
        </w:tc>
        <w:tc>
          <w:tcPr>
            <w:tcW w:w="2160" w:type="dxa"/>
            <w:vAlign w:val="center"/>
          </w:tcPr>
          <w:p w14:paraId="4303009A" w14:textId="77777777" w:rsidR="00E248EC" w:rsidRPr="00FF34C3" w:rsidRDefault="00E248EC" w:rsidP="00254FF4">
            <w:pPr>
              <w:spacing w:after="0" w:line="240" w:lineRule="auto"/>
              <w:rPr>
                <w:rFonts w:ascii="Arial" w:hAnsi="Arial" w:cs="Arial"/>
                <w:b/>
                <w:sz w:val="32"/>
                <w:szCs w:val="32"/>
                <w:u w:val="single"/>
              </w:rPr>
            </w:pPr>
            <w:r w:rsidRPr="00FF34C3">
              <w:rPr>
                <w:rFonts w:ascii="Arial" w:hAnsi="Arial" w:cs="Arial"/>
                <w:b/>
                <w:sz w:val="18"/>
                <w:szCs w:val="18"/>
              </w:rPr>
              <w:t>€1.000 (Ετήσια χρέωση €4.000)</w:t>
            </w:r>
          </w:p>
        </w:tc>
      </w:tr>
      <w:tr w:rsidR="00E248EC" w:rsidRPr="00FF34C3" w14:paraId="7E6EC8EF" w14:textId="77777777" w:rsidTr="00254FF4">
        <w:trPr>
          <w:trHeight w:val="548"/>
        </w:trPr>
        <w:tc>
          <w:tcPr>
            <w:tcW w:w="3600" w:type="dxa"/>
            <w:vMerge/>
          </w:tcPr>
          <w:p w14:paraId="216D81EF" w14:textId="77777777" w:rsidR="00E248EC" w:rsidRPr="00FF34C3" w:rsidRDefault="00E248EC" w:rsidP="00FF34C3">
            <w:pPr>
              <w:spacing w:after="0" w:line="240" w:lineRule="auto"/>
              <w:rPr>
                <w:rFonts w:ascii="Arial" w:hAnsi="Arial" w:cs="Arial"/>
                <w:b/>
                <w:sz w:val="32"/>
                <w:szCs w:val="32"/>
                <w:u w:val="single"/>
              </w:rPr>
            </w:pPr>
          </w:p>
        </w:tc>
        <w:tc>
          <w:tcPr>
            <w:tcW w:w="2340" w:type="dxa"/>
            <w:vAlign w:val="center"/>
          </w:tcPr>
          <w:p w14:paraId="011E7622" w14:textId="77777777" w:rsidR="00E248EC" w:rsidRPr="00FF34C3" w:rsidRDefault="00E248EC" w:rsidP="00254FF4">
            <w:pPr>
              <w:spacing w:after="0" w:line="240" w:lineRule="auto"/>
              <w:ind w:left="360"/>
              <w:jc w:val="center"/>
              <w:rPr>
                <w:rFonts w:ascii="Arial" w:hAnsi="Arial" w:cs="Arial"/>
                <w:b/>
                <w:sz w:val="32"/>
                <w:szCs w:val="32"/>
                <w:u w:val="single"/>
              </w:rPr>
            </w:pPr>
            <w:r w:rsidRPr="00FF34C3">
              <w:rPr>
                <w:rFonts w:ascii="Arial" w:hAnsi="Arial" w:cs="Arial"/>
                <w:b/>
                <w:sz w:val="18"/>
                <w:szCs w:val="18"/>
              </w:rPr>
              <w:t>€40 εκ.- €50 εκ</w:t>
            </w:r>
          </w:p>
        </w:tc>
        <w:tc>
          <w:tcPr>
            <w:tcW w:w="2160" w:type="dxa"/>
            <w:vAlign w:val="center"/>
          </w:tcPr>
          <w:p w14:paraId="08A6B4B2" w14:textId="77777777" w:rsidR="00E248EC" w:rsidRPr="00FF34C3" w:rsidRDefault="00E248EC" w:rsidP="00254FF4">
            <w:pPr>
              <w:spacing w:after="0" w:line="240" w:lineRule="auto"/>
              <w:rPr>
                <w:rFonts w:ascii="Arial" w:hAnsi="Arial" w:cs="Arial"/>
                <w:b/>
                <w:sz w:val="32"/>
                <w:szCs w:val="32"/>
                <w:u w:val="single"/>
              </w:rPr>
            </w:pPr>
            <w:r w:rsidRPr="00FF34C3">
              <w:rPr>
                <w:rFonts w:ascii="Arial" w:hAnsi="Arial" w:cs="Arial"/>
                <w:b/>
                <w:sz w:val="18"/>
                <w:szCs w:val="18"/>
              </w:rPr>
              <w:t>€1.500 (Ετήσια χρέωση €6.000)</w:t>
            </w:r>
          </w:p>
        </w:tc>
      </w:tr>
      <w:tr w:rsidR="00E248EC" w:rsidRPr="00FF34C3" w14:paraId="79CAEFB7" w14:textId="77777777" w:rsidTr="00254FF4">
        <w:trPr>
          <w:trHeight w:val="570"/>
        </w:trPr>
        <w:tc>
          <w:tcPr>
            <w:tcW w:w="3600" w:type="dxa"/>
            <w:vMerge/>
          </w:tcPr>
          <w:p w14:paraId="7B1F6DF9" w14:textId="77777777" w:rsidR="00E248EC" w:rsidRPr="00FF34C3" w:rsidRDefault="00E248EC" w:rsidP="00FF34C3">
            <w:pPr>
              <w:spacing w:after="0" w:line="240" w:lineRule="auto"/>
              <w:rPr>
                <w:rFonts w:ascii="Arial" w:hAnsi="Arial" w:cs="Arial"/>
                <w:b/>
                <w:sz w:val="32"/>
                <w:szCs w:val="32"/>
                <w:u w:val="single"/>
              </w:rPr>
            </w:pPr>
          </w:p>
        </w:tc>
        <w:tc>
          <w:tcPr>
            <w:tcW w:w="2340" w:type="dxa"/>
            <w:vAlign w:val="center"/>
          </w:tcPr>
          <w:p w14:paraId="7FCAD653" w14:textId="77777777" w:rsidR="00E248EC" w:rsidRPr="00FF34C3" w:rsidRDefault="00E248EC" w:rsidP="00254FF4">
            <w:pPr>
              <w:spacing w:after="0" w:line="240" w:lineRule="auto"/>
              <w:ind w:left="360"/>
              <w:jc w:val="center"/>
              <w:rPr>
                <w:rFonts w:ascii="Arial" w:hAnsi="Arial" w:cs="Arial"/>
                <w:b/>
                <w:sz w:val="32"/>
                <w:szCs w:val="32"/>
                <w:u w:val="single"/>
              </w:rPr>
            </w:pPr>
            <w:r w:rsidRPr="00FF34C3">
              <w:rPr>
                <w:rFonts w:ascii="Arial" w:hAnsi="Arial" w:cs="Arial"/>
                <w:b/>
                <w:sz w:val="18"/>
                <w:szCs w:val="18"/>
              </w:rPr>
              <w:t>€50 εκ.- €100 εκ</w:t>
            </w:r>
          </w:p>
        </w:tc>
        <w:tc>
          <w:tcPr>
            <w:tcW w:w="2160" w:type="dxa"/>
            <w:vAlign w:val="center"/>
          </w:tcPr>
          <w:p w14:paraId="238D2B82" w14:textId="77777777" w:rsidR="00E248EC" w:rsidRPr="00FF34C3" w:rsidRDefault="00E248EC" w:rsidP="00254FF4">
            <w:pPr>
              <w:spacing w:after="0" w:line="240" w:lineRule="auto"/>
              <w:rPr>
                <w:rFonts w:ascii="Arial" w:hAnsi="Arial" w:cs="Arial"/>
                <w:b/>
                <w:sz w:val="32"/>
                <w:szCs w:val="32"/>
                <w:u w:val="single"/>
              </w:rPr>
            </w:pPr>
            <w:r w:rsidRPr="00FF34C3">
              <w:rPr>
                <w:rFonts w:ascii="Arial" w:hAnsi="Arial" w:cs="Arial"/>
                <w:b/>
                <w:sz w:val="18"/>
                <w:szCs w:val="18"/>
              </w:rPr>
              <w:t>€1.500 (Ετήσια χρέωση €6.000)</w:t>
            </w:r>
          </w:p>
        </w:tc>
      </w:tr>
      <w:tr w:rsidR="00E248EC" w:rsidRPr="00FF34C3" w14:paraId="596A7C0B" w14:textId="77777777" w:rsidTr="00254FF4">
        <w:trPr>
          <w:trHeight w:val="550"/>
        </w:trPr>
        <w:tc>
          <w:tcPr>
            <w:tcW w:w="3600" w:type="dxa"/>
            <w:vMerge/>
          </w:tcPr>
          <w:p w14:paraId="795B4958" w14:textId="77777777" w:rsidR="00E248EC" w:rsidRPr="00FF34C3" w:rsidRDefault="00E248EC" w:rsidP="00FF34C3">
            <w:pPr>
              <w:spacing w:after="0" w:line="240" w:lineRule="auto"/>
              <w:rPr>
                <w:rFonts w:ascii="Arial" w:hAnsi="Arial" w:cs="Arial"/>
                <w:b/>
                <w:sz w:val="32"/>
                <w:szCs w:val="32"/>
                <w:u w:val="single"/>
              </w:rPr>
            </w:pPr>
          </w:p>
        </w:tc>
        <w:tc>
          <w:tcPr>
            <w:tcW w:w="2340" w:type="dxa"/>
            <w:vAlign w:val="center"/>
          </w:tcPr>
          <w:p w14:paraId="3E19BD90" w14:textId="77777777" w:rsidR="00E248EC" w:rsidRPr="00FF34C3" w:rsidRDefault="00E248EC" w:rsidP="00254FF4">
            <w:pPr>
              <w:spacing w:after="0" w:line="240" w:lineRule="auto"/>
              <w:jc w:val="center"/>
              <w:rPr>
                <w:rFonts w:ascii="Arial" w:hAnsi="Arial" w:cs="Arial"/>
                <w:b/>
                <w:sz w:val="32"/>
                <w:szCs w:val="32"/>
                <w:u w:val="single"/>
              </w:rPr>
            </w:pPr>
            <w:r w:rsidRPr="00FF34C3">
              <w:rPr>
                <w:rFonts w:ascii="Arial" w:hAnsi="Arial" w:cs="Arial"/>
                <w:b/>
                <w:sz w:val="18"/>
                <w:szCs w:val="18"/>
              </w:rPr>
              <w:t>€100 εκ.- €150 εκ</w:t>
            </w:r>
          </w:p>
        </w:tc>
        <w:tc>
          <w:tcPr>
            <w:tcW w:w="2160" w:type="dxa"/>
            <w:vAlign w:val="center"/>
          </w:tcPr>
          <w:p w14:paraId="7C8A1C3E" w14:textId="77777777" w:rsidR="00E248EC" w:rsidRPr="00FF34C3" w:rsidRDefault="00E248EC" w:rsidP="00254FF4">
            <w:pPr>
              <w:spacing w:after="0" w:line="240" w:lineRule="auto"/>
              <w:rPr>
                <w:rFonts w:ascii="Arial" w:hAnsi="Arial" w:cs="Arial"/>
                <w:b/>
                <w:sz w:val="32"/>
                <w:szCs w:val="32"/>
                <w:u w:val="single"/>
              </w:rPr>
            </w:pPr>
            <w:r w:rsidRPr="00FF34C3">
              <w:rPr>
                <w:rFonts w:ascii="Arial" w:hAnsi="Arial" w:cs="Arial"/>
                <w:b/>
                <w:sz w:val="18"/>
                <w:szCs w:val="18"/>
              </w:rPr>
              <w:t>€2.000 (Ετήσια χρέωση €8.000)</w:t>
            </w:r>
          </w:p>
        </w:tc>
      </w:tr>
      <w:tr w:rsidR="00E248EC" w:rsidRPr="00FF34C3" w14:paraId="77786E3A" w14:textId="77777777" w:rsidTr="00254FF4">
        <w:trPr>
          <w:trHeight w:val="559"/>
        </w:trPr>
        <w:tc>
          <w:tcPr>
            <w:tcW w:w="3600" w:type="dxa"/>
            <w:vMerge/>
          </w:tcPr>
          <w:p w14:paraId="6525A635" w14:textId="77777777" w:rsidR="00E248EC" w:rsidRPr="00FF34C3" w:rsidRDefault="00E248EC" w:rsidP="00FF34C3">
            <w:pPr>
              <w:spacing w:after="0" w:line="240" w:lineRule="auto"/>
              <w:rPr>
                <w:rFonts w:ascii="Arial" w:hAnsi="Arial" w:cs="Arial"/>
                <w:b/>
                <w:sz w:val="32"/>
                <w:szCs w:val="32"/>
                <w:u w:val="single"/>
              </w:rPr>
            </w:pPr>
          </w:p>
        </w:tc>
        <w:tc>
          <w:tcPr>
            <w:tcW w:w="2340" w:type="dxa"/>
            <w:vAlign w:val="center"/>
          </w:tcPr>
          <w:p w14:paraId="706634E4" w14:textId="77777777" w:rsidR="00E248EC" w:rsidRPr="00FF34C3" w:rsidRDefault="00E248EC" w:rsidP="00254FF4">
            <w:pPr>
              <w:spacing w:after="0" w:line="240" w:lineRule="auto"/>
              <w:jc w:val="center"/>
              <w:rPr>
                <w:rFonts w:ascii="Arial" w:hAnsi="Arial" w:cs="Arial"/>
                <w:b/>
                <w:sz w:val="32"/>
                <w:szCs w:val="32"/>
                <w:u w:val="single"/>
              </w:rPr>
            </w:pPr>
            <w:r w:rsidRPr="00FF34C3">
              <w:rPr>
                <w:rFonts w:ascii="Arial" w:hAnsi="Arial" w:cs="Arial"/>
                <w:b/>
                <w:sz w:val="18"/>
                <w:szCs w:val="18"/>
              </w:rPr>
              <w:t>€150 εκ.- €200 εκ</w:t>
            </w:r>
          </w:p>
        </w:tc>
        <w:tc>
          <w:tcPr>
            <w:tcW w:w="2160" w:type="dxa"/>
            <w:vAlign w:val="center"/>
          </w:tcPr>
          <w:p w14:paraId="1C07EF6A" w14:textId="77777777" w:rsidR="00E248EC" w:rsidRPr="00FF34C3" w:rsidRDefault="00E248EC" w:rsidP="00254FF4">
            <w:pPr>
              <w:spacing w:after="0" w:line="240" w:lineRule="auto"/>
              <w:rPr>
                <w:rFonts w:ascii="Arial" w:hAnsi="Arial" w:cs="Arial"/>
                <w:b/>
                <w:sz w:val="32"/>
                <w:szCs w:val="32"/>
                <w:u w:val="single"/>
              </w:rPr>
            </w:pPr>
            <w:r w:rsidRPr="00FF34C3">
              <w:rPr>
                <w:rFonts w:ascii="Arial" w:hAnsi="Arial" w:cs="Arial"/>
                <w:b/>
                <w:sz w:val="18"/>
                <w:szCs w:val="18"/>
              </w:rPr>
              <w:t>€2.500 (Ετήσια χρέωση €10.000)</w:t>
            </w:r>
          </w:p>
        </w:tc>
      </w:tr>
      <w:tr w:rsidR="00E248EC" w:rsidRPr="00FF34C3" w14:paraId="295A4C6A" w14:textId="77777777" w:rsidTr="00254FF4">
        <w:trPr>
          <w:trHeight w:val="694"/>
        </w:trPr>
        <w:tc>
          <w:tcPr>
            <w:tcW w:w="3600" w:type="dxa"/>
            <w:vMerge/>
          </w:tcPr>
          <w:p w14:paraId="6229942A" w14:textId="77777777" w:rsidR="00E248EC" w:rsidRPr="00FF34C3" w:rsidRDefault="00E248EC" w:rsidP="00FF34C3">
            <w:pPr>
              <w:spacing w:after="0" w:line="240" w:lineRule="auto"/>
              <w:rPr>
                <w:rFonts w:ascii="Arial" w:hAnsi="Arial" w:cs="Arial"/>
                <w:b/>
                <w:sz w:val="32"/>
                <w:szCs w:val="32"/>
                <w:u w:val="single"/>
              </w:rPr>
            </w:pPr>
          </w:p>
        </w:tc>
        <w:tc>
          <w:tcPr>
            <w:tcW w:w="2340" w:type="dxa"/>
            <w:vAlign w:val="center"/>
          </w:tcPr>
          <w:p w14:paraId="7025FB14" w14:textId="77777777" w:rsidR="00E248EC" w:rsidRPr="00FF34C3" w:rsidRDefault="00E248EC" w:rsidP="00254FF4">
            <w:pPr>
              <w:spacing w:after="0" w:line="240" w:lineRule="auto"/>
              <w:jc w:val="center"/>
              <w:rPr>
                <w:rFonts w:ascii="Arial" w:hAnsi="Arial" w:cs="Arial"/>
                <w:b/>
                <w:sz w:val="32"/>
                <w:szCs w:val="32"/>
                <w:u w:val="single"/>
              </w:rPr>
            </w:pPr>
            <w:r w:rsidRPr="00FF34C3">
              <w:rPr>
                <w:rFonts w:ascii="Arial" w:hAnsi="Arial" w:cs="Arial"/>
                <w:b/>
                <w:sz w:val="18"/>
                <w:szCs w:val="18"/>
              </w:rPr>
              <w:t>άνω των €200 εκ</w:t>
            </w:r>
          </w:p>
        </w:tc>
        <w:tc>
          <w:tcPr>
            <w:tcW w:w="2160" w:type="dxa"/>
            <w:vAlign w:val="center"/>
          </w:tcPr>
          <w:p w14:paraId="7C1E16B6" w14:textId="77777777" w:rsidR="00E248EC" w:rsidRPr="00FF34C3" w:rsidRDefault="00E248EC" w:rsidP="00254FF4">
            <w:pPr>
              <w:spacing w:after="0" w:line="240" w:lineRule="auto"/>
              <w:rPr>
                <w:rFonts w:ascii="Arial" w:hAnsi="Arial" w:cs="Arial"/>
                <w:b/>
                <w:sz w:val="32"/>
                <w:szCs w:val="32"/>
                <w:u w:val="single"/>
              </w:rPr>
            </w:pPr>
            <w:r w:rsidRPr="00FF34C3">
              <w:rPr>
                <w:rFonts w:ascii="Arial" w:hAnsi="Arial" w:cs="Arial"/>
                <w:b/>
                <w:sz w:val="18"/>
                <w:szCs w:val="18"/>
              </w:rPr>
              <w:t>Για κεφαλαιοποίηση πέραν των €200 εκ -€10 ανά εκατομμύριο</w:t>
            </w:r>
          </w:p>
        </w:tc>
      </w:tr>
      <w:tr w:rsidR="00E248EC" w:rsidRPr="00FF34C3" w14:paraId="245EE0FE" w14:textId="77777777" w:rsidTr="00254FF4">
        <w:trPr>
          <w:trHeight w:val="279"/>
        </w:trPr>
        <w:tc>
          <w:tcPr>
            <w:tcW w:w="3600" w:type="dxa"/>
            <w:vMerge/>
          </w:tcPr>
          <w:p w14:paraId="08324193" w14:textId="77777777" w:rsidR="00E248EC" w:rsidRPr="00FF34C3" w:rsidRDefault="00E248EC" w:rsidP="00FF34C3">
            <w:pPr>
              <w:spacing w:after="0" w:line="240" w:lineRule="auto"/>
              <w:rPr>
                <w:rFonts w:ascii="Arial" w:hAnsi="Arial" w:cs="Arial"/>
                <w:b/>
                <w:sz w:val="32"/>
                <w:szCs w:val="32"/>
                <w:u w:val="single"/>
              </w:rPr>
            </w:pPr>
          </w:p>
        </w:tc>
        <w:tc>
          <w:tcPr>
            <w:tcW w:w="4500" w:type="dxa"/>
            <w:gridSpan w:val="2"/>
            <w:vAlign w:val="center"/>
          </w:tcPr>
          <w:p w14:paraId="0B0A4753" w14:textId="77777777" w:rsidR="00E248EC" w:rsidRPr="00FF34C3" w:rsidRDefault="00E248EC" w:rsidP="00254FF4">
            <w:pPr>
              <w:spacing w:after="0" w:line="240" w:lineRule="auto"/>
              <w:rPr>
                <w:rFonts w:ascii="Arial" w:hAnsi="Arial" w:cs="Arial"/>
                <w:b/>
                <w:sz w:val="32"/>
                <w:szCs w:val="32"/>
                <w:u w:val="single"/>
              </w:rPr>
            </w:pPr>
            <w:r w:rsidRPr="00FF34C3">
              <w:rPr>
                <w:rFonts w:ascii="Arial" w:hAnsi="Arial" w:cs="Arial"/>
                <w:b/>
                <w:sz w:val="18"/>
                <w:szCs w:val="18"/>
              </w:rPr>
              <w:t>Μέγιστη Ετήσια χρέωση €25,000</w:t>
            </w:r>
          </w:p>
        </w:tc>
      </w:tr>
      <w:tr w:rsidR="00E248EC" w:rsidRPr="00FF34C3" w14:paraId="0A884BD1" w14:textId="77777777" w:rsidTr="00254FF4">
        <w:trPr>
          <w:trHeight w:val="6506"/>
        </w:trPr>
        <w:tc>
          <w:tcPr>
            <w:tcW w:w="8100" w:type="dxa"/>
            <w:gridSpan w:val="3"/>
          </w:tcPr>
          <w:p w14:paraId="66EA3FB2" w14:textId="77777777" w:rsidR="00E248EC" w:rsidRDefault="00E248EC" w:rsidP="00FF34C3">
            <w:pPr>
              <w:tabs>
                <w:tab w:val="center" w:pos="4153"/>
                <w:tab w:val="right" w:pos="8306"/>
              </w:tabs>
              <w:spacing w:after="0" w:line="240" w:lineRule="auto"/>
              <w:jc w:val="both"/>
              <w:rPr>
                <w:rFonts w:ascii="Arial" w:hAnsi="Arial" w:cs="Arial"/>
                <w:b/>
                <w:sz w:val="18"/>
                <w:szCs w:val="18"/>
              </w:rPr>
            </w:pPr>
          </w:p>
          <w:p w14:paraId="439A7E2F" w14:textId="77777777" w:rsidR="00E248EC" w:rsidRPr="00FF34C3" w:rsidRDefault="00E248EC" w:rsidP="00FF34C3">
            <w:pPr>
              <w:tabs>
                <w:tab w:val="center" w:pos="4153"/>
                <w:tab w:val="right" w:pos="8306"/>
              </w:tabs>
              <w:spacing w:after="0" w:line="240" w:lineRule="auto"/>
              <w:jc w:val="both"/>
              <w:rPr>
                <w:rFonts w:ascii="Arial" w:hAnsi="Arial" w:cs="Arial"/>
                <w:b/>
                <w:sz w:val="18"/>
                <w:szCs w:val="18"/>
              </w:rPr>
            </w:pPr>
            <w:r w:rsidRPr="00FF34C3">
              <w:rPr>
                <w:rFonts w:ascii="Arial" w:hAnsi="Arial" w:cs="Arial"/>
                <w:b/>
                <w:sz w:val="18"/>
                <w:szCs w:val="18"/>
              </w:rPr>
              <w:t>Σημειώσεις</w:t>
            </w:r>
          </w:p>
          <w:p w14:paraId="18E7A7D8" w14:textId="77777777" w:rsidR="00E248EC" w:rsidRPr="00FF34C3" w:rsidRDefault="00E248EC" w:rsidP="00FF34C3">
            <w:pPr>
              <w:tabs>
                <w:tab w:val="center" w:pos="4153"/>
                <w:tab w:val="right" w:pos="8306"/>
              </w:tabs>
              <w:spacing w:after="0" w:line="240" w:lineRule="auto"/>
              <w:ind w:left="360"/>
              <w:jc w:val="both"/>
              <w:rPr>
                <w:rFonts w:ascii="Arial" w:hAnsi="Arial" w:cs="Arial"/>
                <w:b/>
                <w:sz w:val="18"/>
                <w:szCs w:val="18"/>
              </w:rPr>
            </w:pPr>
          </w:p>
          <w:p w14:paraId="0A1EC9FC" w14:textId="77777777" w:rsidR="00E248EC" w:rsidRPr="00FF34C3" w:rsidRDefault="00E248EC" w:rsidP="00FF34C3">
            <w:pPr>
              <w:spacing w:after="0" w:line="240" w:lineRule="auto"/>
              <w:ind w:left="360" w:hanging="360"/>
              <w:jc w:val="both"/>
              <w:rPr>
                <w:rFonts w:ascii="Arial" w:hAnsi="Arial" w:cs="Arial"/>
                <w:b/>
                <w:sz w:val="18"/>
                <w:szCs w:val="18"/>
              </w:rPr>
            </w:pPr>
            <w:r w:rsidRPr="00FF34C3">
              <w:rPr>
                <w:rFonts w:ascii="Arial" w:hAnsi="Arial" w:cs="Arial"/>
                <w:b/>
                <w:sz w:val="18"/>
                <w:szCs w:val="18"/>
              </w:rPr>
              <w:t>1. Για τις αυξήσεις κεφαλαίου ή για τις μετέπειτα εκδόσεις δεν θα γίνεται υπολογισμός κατά την εισαγωγή τους.</w:t>
            </w:r>
          </w:p>
          <w:p w14:paraId="5A378B15" w14:textId="77777777" w:rsidR="00E248EC" w:rsidRPr="00FF34C3" w:rsidRDefault="00E248EC" w:rsidP="00FF34C3">
            <w:pPr>
              <w:spacing w:after="0" w:line="240" w:lineRule="auto"/>
              <w:ind w:left="360" w:hanging="360"/>
              <w:jc w:val="both"/>
              <w:rPr>
                <w:rFonts w:ascii="Arial" w:hAnsi="Arial" w:cs="Arial"/>
                <w:b/>
                <w:sz w:val="18"/>
                <w:szCs w:val="18"/>
              </w:rPr>
            </w:pPr>
          </w:p>
          <w:p w14:paraId="1FDF89DC" w14:textId="77777777" w:rsidR="00E248EC" w:rsidRPr="00FF34C3" w:rsidRDefault="00E248EC" w:rsidP="00FF34C3">
            <w:pPr>
              <w:spacing w:after="0" w:line="240" w:lineRule="auto"/>
              <w:ind w:left="360" w:hanging="360"/>
              <w:jc w:val="both"/>
              <w:rPr>
                <w:rFonts w:ascii="Arial" w:hAnsi="Arial" w:cs="Arial"/>
                <w:b/>
                <w:sz w:val="18"/>
                <w:szCs w:val="18"/>
              </w:rPr>
            </w:pPr>
            <w:r w:rsidRPr="00FF34C3">
              <w:rPr>
                <w:rFonts w:ascii="Arial" w:hAnsi="Arial" w:cs="Arial"/>
                <w:b/>
                <w:sz w:val="18"/>
                <w:szCs w:val="18"/>
              </w:rPr>
              <w:t>2. Καταβολή συνδρομής επί τριμηνιαίας βάσης στο σύνολο των μετοχών συμπεριλαμβανομένων των αυξήσεων.</w:t>
            </w:r>
          </w:p>
          <w:p w14:paraId="5DB87F9B" w14:textId="77777777" w:rsidR="00E248EC" w:rsidRPr="00FF34C3" w:rsidRDefault="00E248EC" w:rsidP="00FF34C3">
            <w:pPr>
              <w:spacing w:after="0" w:line="240" w:lineRule="auto"/>
              <w:ind w:left="360" w:hanging="360"/>
              <w:jc w:val="both"/>
              <w:rPr>
                <w:rFonts w:ascii="Arial" w:hAnsi="Arial" w:cs="Arial"/>
                <w:b/>
                <w:sz w:val="18"/>
                <w:szCs w:val="18"/>
              </w:rPr>
            </w:pPr>
          </w:p>
          <w:p w14:paraId="0A04507A" w14:textId="77777777" w:rsidR="00E248EC" w:rsidRPr="00FF34C3" w:rsidRDefault="00E248EC" w:rsidP="00FF34C3">
            <w:pPr>
              <w:spacing w:after="0" w:line="240" w:lineRule="auto"/>
              <w:ind w:left="360" w:hanging="360"/>
              <w:jc w:val="both"/>
              <w:rPr>
                <w:rFonts w:ascii="Arial" w:hAnsi="Arial" w:cs="Arial"/>
                <w:b/>
                <w:sz w:val="18"/>
                <w:szCs w:val="18"/>
              </w:rPr>
            </w:pPr>
            <w:r w:rsidRPr="00FF34C3">
              <w:rPr>
                <w:rFonts w:ascii="Arial" w:hAnsi="Arial" w:cs="Arial"/>
                <w:b/>
                <w:sz w:val="18"/>
                <w:szCs w:val="18"/>
              </w:rPr>
              <w:t xml:space="preserve">3. Για το πρώτο τρίμηνο η ετήσια (τριμηνιαία) εισφορά υπολογίζεται κατά αναλογία από την ημέρα εισαγωγής των τίτλων μέχρι την τελευταία ημέρα του τριμήνου κατά το οποίο </w:t>
            </w:r>
            <w:proofErr w:type="spellStart"/>
            <w:r w:rsidRPr="00FF34C3">
              <w:rPr>
                <w:rFonts w:ascii="Arial" w:hAnsi="Arial" w:cs="Arial"/>
                <w:b/>
                <w:sz w:val="18"/>
                <w:szCs w:val="18"/>
              </w:rPr>
              <w:t>εισήχθηκαν</w:t>
            </w:r>
            <w:proofErr w:type="spellEnd"/>
            <w:r w:rsidRPr="00FF34C3">
              <w:rPr>
                <w:rFonts w:ascii="Arial" w:hAnsi="Arial" w:cs="Arial"/>
                <w:b/>
                <w:sz w:val="18"/>
                <w:szCs w:val="18"/>
              </w:rPr>
              <w:t xml:space="preserve"> οι τίτλοι.  Για κάθε άλλο τρίμηνο καταβάλλεται ολόκληρο το ποσό και θα χρεώνεται την πρώτη ημέρα μετά το τέλος του τριμήνου.  </w:t>
            </w:r>
          </w:p>
          <w:p w14:paraId="629012C3" w14:textId="77777777" w:rsidR="00E248EC" w:rsidRPr="00FF34C3" w:rsidRDefault="00E248EC" w:rsidP="00FF34C3">
            <w:pPr>
              <w:spacing w:after="0" w:line="240" w:lineRule="auto"/>
              <w:ind w:left="360" w:hanging="360"/>
              <w:jc w:val="both"/>
              <w:rPr>
                <w:rFonts w:ascii="Arial" w:hAnsi="Arial" w:cs="Arial"/>
                <w:b/>
                <w:sz w:val="18"/>
                <w:szCs w:val="18"/>
              </w:rPr>
            </w:pPr>
          </w:p>
          <w:p w14:paraId="4C2CB6C1" w14:textId="77777777" w:rsidR="00E248EC" w:rsidRPr="00FF34C3" w:rsidRDefault="00E248EC" w:rsidP="00FF34C3">
            <w:pPr>
              <w:spacing w:after="0" w:line="240" w:lineRule="auto"/>
              <w:ind w:left="360" w:hanging="360"/>
              <w:jc w:val="both"/>
              <w:rPr>
                <w:rFonts w:ascii="Arial" w:hAnsi="Arial" w:cs="Arial"/>
                <w:b/>
                <w:sz w:val="18"/>
                <w:szCs w:val="18"/>
              </w:rPr>
            </w:pPr>
            <w:r w:rsidRPr="00FF34C3">
              <w:rPr>
                <w:rFonts w:ascii="Arial" w:hAnsi="Arial" w:cs="Arial"/>
                <w:b/>
                <w:sz w:val="18"/>
                <w:szCs w:val="18"/>
              </w:rPr>
              <w:t xml:space="preserve">      Στην περίπτωση διαγραφής εκδότη, για το τελευταίο τρίμηνο η ετήσια συνδρομή υπολογίζεται κατά αναλογία από την πρώτη ημέρα του τριμήνου μέχρι την ημέρα διαγραφής του εκδότη.</w:t>
            </w:r>
          </w:p>
          <w:p w14:paraId="6A6BE3E0" w14:textId="77777777" w:rsidR="00E248EC" w:rsidRPr="00FF34C3" w:rsidRDefault="00E248EC" w:rsidP="00FF34C3">
            <w:pPr>
              <w:spacing w:after="0" w:line="240" w:lineRule="auto"/>
              <w:ind w:left="360" w:hanging="360"/>
              <w:jc w:val="both"/>
              <w:rPr>
                <w:rFonts w:ascii="Arial" w:hAnsi="Arial" w:cs="Arial"/>
                <w:b/>
                <w:sz w:val="18"/>
                <w:szCs w:val="18"/>
              </w:rPr>
            </w:pPr>
          </w:p>
          <w:p w14:paraId="4811F971" w14:textId="77777777" w:rsidR="00E248EC" w:rsidRPr="00FF34C3" w:rsidRDefault="00E248EC" w:rsidP="00FF34C3">
            <w:pPr>
              <w:spacing w:after="0" w:line="240" w:lineRule="auto"/>
              <w:ind w:left="360" w:hanging="360"/>
              <w:jc w:val="both"/>
              <w:rPr>
                <w:rFonts w:ascii="Arial" w:hAnsi="Arial" w:cs="Arial"/>
                <w:b/>
                <w:sz w:val="18"/>
                <w:szCs w:val="18"/>
              </w:rPr>
            </w:pPr>
            <w:r w:rsidRPr="00FF34C3">
              <w:rPr>
                <w:rFonts w:ascii="Arial" w:hAnsi="Arial" w:cs="Arial"/>
                <w:b/>
                <w:sz w:val="18"/>
                <w:szCs w:val="18"/>
              </w:rPr>
              <w:t>4. Η χρηματιστηριακή αξία εισηγμένων τίτλων καθορίζεται ως η μέση χρηματιστηριακή αξία κατά τη διάρκεια του κάθε τριμήνου, δηλαδή το άθροισμα της ημερήσιας χρηματιστηριακής αξίας (αριθμός τίτλων επί την τιμή κλεισίματος) κατά τη διάρκεια του τριμήνου, διά τον αριθμό των ημερών διαπραγμάτευσης.</w:t>
            </w:r>
          </w:p>
          <w:p w14:paraId="749B418F" w14:textId="77777777" w:rsidR="00E248EC" w:rsidRPr="00FF34C3" w:rsidRDefault="00E248EC" w:rsidP="00FF34C3">
            <w:pPr>
              <w:spacing w:after="0" w:line="240" w:lineRule="auto"/>
              <w:ind w:left="360" w:hanging="360"/>
              <w:jc w:val="both"/>
              <w:rPr>
                <w:rFonts w:ascii="Arial" w:hAnsi="Arial" w:cs="Arial"/>
                <w:b/>
                <w:sz w:val="18"/>
                <w:szCs w:val="18"/>
              </w:rPr>
            </w:pPr>
          </w:p>
          <w:p w14:paraId="032EFF2B" w14:textId="77777777" w:rsidR="00E248EC" w:rsidRPr="00FF34C3" w:rsidRDefault="00E248EC" w:rsidP="00FF34C3">
            <w:pPr>
              <w:spacing w:after="0" w:line="240" w:lineRule="auto"/>
              <w:ind w:left="360" w:hanging="360"/>
              <w:jc w:val="both"/>
              <w:rPr>
                <w:rFonts w:ascii="Arial" w:hAnsi="Arial" w:cs="Arial"/>
                <w:b/>
                <w:sz w:val="18"/>
                <w:szCs w:val="18"/>
              </w:rPr>
            </w:pPr>
            <w:r w:rsidRPr="00FF34C3">
              <w:rPr>
                <w:rFonts w:ascii="Arial" w:hAnsi="Arial" w:cs="Arial"/>
                <w:b/>
                <w:sz w:val="18"/>
                <w:szCs w:val="18"/>
              </w:rPr>
              <w:t>5. Για τον υπολογισμό της ετήσιας συνδρομής εκδοτών αναφορικά με την εισαγωγή νέων τίτλων στο Χρηματιστήριο, η χρηματιστηριακή αξία των τίτλων (Μετοχές, Δικαιώματα Αγοράς Μετοχών – ΔΑΜ και Δικαιώματα Επιλογής Αγοράς Μετοχών – Rights) καθορίζεται με βάση τη μέση χρηματιστηριακή αξία των τίτλων κατά τη διάρκεια του τριμήνου.</w:t>
            </w:r>
          </w:p>
          <w:p w14:paraId="3CFFBD9B" w14:textId="77777777" w:rsidR="00E248EC" w:rsidRPr="00FF34C3" w:rsidRDefault="00E248EC" w:rsidP="00FF34C3">
            <w:pPr>
              <w:spacing w:after="0" w:line="240" w:lineRule="auto"/>
              <w:ind w:left="360" w:hanging="360"/>
              <w:jc w:val="both"/>
              <w:rPr>
                <w:rFonts w:ascii="Arial" w:hAnsi="Arial" w:cs="Arial"/>
                <w:b/>
                <w:sz w:val="18"/>
                <w:szCs w:val="18"/>
              </w:rPr>
            </w:pPr>
          </w:p>
          <w:p w14:paraId="3A19CADD" w14:textId="77777777" w:rsidR="00E248EC" w:rsidRPr="00FF34C3" w:rsidRDefault="00E248EC" w:rsidP="00FF34C3">
            <w:pPr>
              <w:tabs>
                <w:tab w:val="left" w:pos="284"/>
              </w:tabs>
              <w:spacing w:after="0" w:line="240" w:lineRule="auto"/>
              <w:ind w:left="263" w:hanging="263"/>
              <w:jc w:val="both"/>
              <w:rPr>
                <w:rFonts w:ascii="Arial" w:hAnsi="Arial" w:cs="Arial"/>
                <w:b/>
                <w:sz w:val="32"/>
                <w:szCs w:val="32"/>
                <w:u w:val="single"/>
              </w:rPr>
            </w:pPr>
            <w:r w:rsidRPr="00FF34C3">
              <w:rPr>
                <w:rFonts w:ascii="Arial" w:hAnsi="Arial" w:cs="Arial"/>
                <w:b/>
                <w:sz w:val="18"/>
                <w:szCs w:val="18"/>
              </w:rPr>
              <w:t xml:space="preserve">6. Σε περίπτωση παράλληλης ή ταυτόχρονης εισαγωγής εκδότη όπου η αρχική εισαγωγή έγινε σε μη   Ρυθμιζόμενη Αγορά άλλου Χρηματιστηρίου, θα παρέχεται 25% έκπτωση. </w:t>
            </w:r>
          </w:p>
        </w:tc>
      </w:tr>
    </w:tbl>
    <w:p w14:paraId="29D14800" w14:textId="77777777" w:rsidR="00E248EC" w:rsidRDefault="00E248EC" w:rsidP="00714B9C">
      <w:pPr>
        <w:rPr>
          <w:rFonts w:ascii="Arial" w:hAnsi="Arial" w:cs="Arial"/>
          <w:b/>
          <w:sz w:val="32"/>
          <w:szCs w:val="32"/>
          <w:u w:val="single"/>
        </w:rPr>
      </w:pPr>
    </w:p>
    <w:p w14:paraId="5CC3EEE1" w14:textId="77777777" w:rsidR="00E248EC" w:rsidRDefault="00E248EC" w:rsidP="00714B9C">
      <w:pPr>
        <w:rPr>
          <w:rFonts w:ascii="Arial" w:hAnsi="Arial" w:cs="Arial"/>
          <w:b/>
          <w:sz w:val="32"/>
          <w:szCs w:val="32"/>
          <w:u w:val="single"/>
        </w:rPr>
      </w:pPr>
    </w:p>
    <w:p w14:paraId="63B0277F" w14:textId="77777777" w:rsidR="00E248EC" w:rsidRPr="00860876" w:rsidRDefault="00E248EC" w:rsidP="00714B9C">
      <w:pPr>
        <w:rPr>
          <w:rFonts w:ascii="Arial" w:hAnsi="Arial" w:cs="Arial"/>
          <w:b/>
          <w:sz w:val="32"/>
          <w:szCs w:val="32"/>
          <w:u w:val="single"/>
        </w:rPr>
      </w:pPr>
    </w:p>
    <w:p w14:paraId="77E81357" w14:textId="77777777" w:rsidR="00E248EC" w:rsidRPr="00860876" w:rsidRDefault="00E248EC" w:rsidP="00964106">
      <w:pPr>
        <w:rPr>
          <w:rFonts w:ascii="Arial" w:hAnsi="Arial" w:cs="Arial"/>
          <w:b/>
          <w:u w:val="single"/>
        </w:rPr>
      </w:pPr>
      <w:r w:rsidRPr="002130A7">
        <w:rPr>
          <w:rFonts w:ascii="Arial" w:hAnsi="Arial" w:cs="Arial"/>
          <w:b/>
          <w:sz w:val="18"/>
          <w:szCs w:val="18"/>
          <w:u w:val="single"/>
        </w:rPr>
        <w:t>ΕΤΗΣΙΑ ΠΑΓΙΑ ΧΡΕΩΣΗ ΑΝΑ ΛΟΓΑΡΙΑΣΜΟ ΑΠΟΘΕΤΗΡΙΟΥ ΓΙΑ ΤΗΡΗΣΗ ΜΗΤΡΩΩΝ</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402"/>
        <w:gridCol w:w="1437"/>
      </w:tblGrid>
      <w:tr w:rsidR="00E248EC" w:rsidRPr="00FF34C3" w14:paraId="0FED6935" w14:textId="77777777" w:rsidTr="008E30E4">
        <w:trPr>
          <w:cantSplit/>
          <w:trHeight w:val="606"/>
        </w:trPr>
        <w:tc>
          <w:tcPr>
            <w:tcW w:w="3261" w:type="dxa"/>
            <w:tcBorders>
              <w:bottom w:val="nil"/>
            </w:tcBorders>
          </w:tcPr>
          <w:p w14:paraId="1D3AF980" w14:textId="77777777" w:rsidR="00E248EC" w:rsidRPr="00FF34C3" w:rsidRDefault="00E248EC" w:rsidP="008E30E4">
            <w:pPr>
              <w:spacing w:before="120"/>
              <w:jc w:val="both"/>
              <w:rPr>
                <w:rFonts w:ascii="Arial" w:hAnsi="Arial" w:cs="Arial"/>
                <w:b/>
                <w:sz w:val="18"/>
                <w:szCs w:val="18"/>
              </w:rPr>
            </w:pPr>
            <w:r w:rsidRPr="00FF34C3">
              <w:rPr>
                <w:rFonts w:ascii="Arial" w:hAnsi="Arial" w:cs="Arial"/>
                <w:b/>
                <w:sz w:val="18"/>
                <w:szCs w:val="18"/>
              </w:rPr>
              <w:t xml:space="preserve">Τήρηση μητρώου μετοχών </w:t>
            </w:r>
            <w:r>
              <w:rPr>
                <w:rFonts w:ascii="Arial" w:hAnsi="Arial" w:cs="Arial"/>
                <w:b/>
                <w:sz w:val="18"/>
                <w:szCs w:val="18"/>
              </w:rPr>
              <w:t xml:space="preserve">&amp; </w:t>
            </w:r>
            <w:r w:rsidRPr="00FF34C3">
              <w:rPr>
                <w:rFonts w:ascii="Arial" w:hAnsi="Arial" w:cs="Arial"/>
                <w:b/>
                <w:sz w:val="18"/>
                <w:szCs w:val="18"/>
              </w:rPr>
              <w:t xml:space="preserve"> ΔΑΜ</w:t>
            </w:r>
          </w:p>
        </w:tc>
        <w:tc>
          <w:tcPr>
            <w:tcW w:w="3402" w:type="dxa"/>
            <w:tcBorders>
              <w:bottom w:val="nil"/>
            </w:tcBorders>
          </w:tcPr>
          <w:p w14:paraId="7A8277F1" w14:textId="77777777" w:rsidR="00E248EC" w:rsidRPr="00254FF4" w:rsidRDefault="00E248EC" w:rsidP="00254FF4">
            <w:pPr>
              <w:pStyle w:val="2"/>
              <w:spacing w:before="120" w:after="160"/>
              <w:ind w:left="0"/>
              <w:rPr>
                <w:rFonts w:ascii="Arial" w:hAnsi="Arial" w:cs="Arial"/>
                <w:b/>
                <w:sz w:val="18"/>
                <w:szCs w:val="18"/>
              </w:rPr>
            </w:pPr>
            <w:r w:rsidRPr="00254FF4">
              <w:rPr>
                <w:rFonts w:ascii="Arial" w:hAnsi="Arial" w:cs="Arial"/>
                <w:b/>
                <w:sz w:val="18"/>
                <w:szCs w:val="18"/>
              </w:rPr>
              <w:t>Αριθμός Λογαριασμών Αποθετηρίου</w:t>
            </w:r>
          </w:p>
        </w:tc>
        <w:tc>
          <w:tcPr>
            <w:tcW w:w="1437" w:type="dxa"/>
            <w:tcBorders>
              <w:bottom w:val="nil"/>
            </w:tcBorders>
          </w:tcPr>
          <w:p w14:paraId="7A404D96" w14:textId="77777777" w:rsidR="00E248EC" w:rsidRPr="00254FF4" w:rsidRDefault="00E248EC" w:rsidP="008E30E4">
            <w:pPr>
              <w:pStyle w:val="2"/>
              <w:spacing w:before="120" w:after="160"/>
              <w:ind w:left="0"/>
              <w:rPr>
                <w:rFonts w:ascii="Arial" w:hAnsi="Arial" w:cs="Arial"/>
                <w:b/>
                <w:sz w:val="18"/>
                <w:szCs w:val="18"/>
              </w:rPr>
            </w:pPr>
            <w:r w:rsidRPr="00254FF4">
              <w:rPr>
                <w:rFonts w:ascii="Arial" w:hAnsi="Arial" w:cs="Arial"/>
                <w:b/>
                <w:sz w:val="18"/>
                <w:szCs w:val="18"/>
              </w:rPr>
              <w:t xml:space="preserve">Χρέωση </w:t>
            </w:r>
            <w:r>
              <w:rPr>
                <w:rFonts w:ascii="Arial" w:hAnsi="Arial" w:cs="Arial"/>
                <w:b/>
                <w:sz w:val="18"/>
                <w:szCs w:val="18"/>
              </w:rPr>
              <w:t>/</w:t>
            </w:r>
            <w:r w:rsidRPr="00254FF4">
              <w:rPr>
                <w:rFonts w:ascii="Arial" w:hAnsi="Arial" w:cs="Arial"/>
                <w:b/>
                <w:sz w:val="18"/>
                <w:szCs w:val="18"/>
              </w:rPr>
              <w:t xml:space="preserve"> έτος</w:t>
            </w:r>
          </w:p>
        </w:tc>
      </w:tr>
      <w:tr w:rsidR="002864C4" w:rsidRPr="00FF34C3" w14:paraId="0D52E991" w14:textId="77777777" w:rsidTr="008E30E4">
        <w:trPr>
          <w:cantSplit/>
        </w:trPr>
        <w:tc>
          <w:tcPr>
            <w:tcW w:w="3261" w:type="dxa"/>
            <w:tcBorders>
              <w:bottom w:val="nil"/>
            </w:tcBorders>
          </w:tcPr>
          <w:p w14:paraId="21E9D785" w14:textId="77777777" w:rsidR="002864C4" w:rsidRPr="00FF34C3" w:rsidRDefault="002864C4" w:rsidP="002864C4">
            <w:pPr>
              <w:spacing w:after="120"/>
              <w:rPr>
                <w:rFonts w:ascii="Arial" w:hAnsi="Arial" w:cs="Arial"/>
                <w:b/>
                <w:sz w:val="18"/>
                <w:szCs w:val="18"/>
              </w:rPr>
            </w:pPr>
          </w:p>
        </w:tc>
        <w:tc>
          <w:tcPr>
            <w:tcW w:w="3402" w:type="dxa"/>
            <w:tcBorders>
              <w:bottom w:val="nil"/>
            </w:tcBorders>
            <w:vAlign w:val="center"/>
          </w:tcPr>
          <w:p w14:paraId="22FDC4D0" w14:textId="77777777" w:rsidR="002864C4" w:rsidRPr="00FF34C3" w:rsidRDefault="002864C4" w:rsidP="002864C4">
            <w:pPr>
              <w:pStyle w:val="2"/>
              <w:tabs>
                <w:tab w:val="left" w:pos="1512"/>
              </w:tabs>
              <w:jc w:val="center"/>
              <w:rPr>
                <w:rFonts w:ascii="Arial" w:hAnsi="Arial" w:cs="Arial"/>
                <w:b/>
                <w:sz w:val="18"/>
                <w:szCs w:val="18"/>
              </w:rPr>
            </w:pPr>
            <w:r w:rsidRPr="00FF34C3">
              <w:rPr>
                <w:rFonts w:ascii="Arial" w:hAnsi="Arial" w:cs="Arial"/>
                <w:b/>
                <w:sz w:val="18"/>
                <w:szCs w:val="18"/>
              </w:rPr>
              <w:t>1-200</w:t>
            </w:r>
          </w:p>
        </w:tc>
        <w:tc>
          <w:tcPr>
            <w:tcW w:w="1437" w:type="dxa"/>
            <w:tcBorders>
              <w:bottom w:val="nil"/>
            </w:tcBorders>
            <w:vAlign w:val="center"/>
          </w:tcPr>
          <w:p w14:paraId="7C741B94" w14:textId="77777777" w:rsidR="002864C4" w:rsidRPr="001157F5" w:rsidRDefault="002864C4" w:rsidP="002864C4">
            <w:pPr>
              <w:pStyle w:val="2"/>
              <w:tabs>
                <w:tab w:val="left" w:pos="1512"/>
              </w:tabs>
              <w:jc w:val="center"/>
              <w:rPr>
                <w:rFonts w:ascii="Arial" w:hAnsi="Arial" w:cs="Arial"/>
                <w:b/>
                <w:sz w:val="18"/>
                <w:szCs w:val="18"/>
              </w:rPr>
            </w:pPr>
            <w:r>
              <w:rPr>
                <w:rFonts w:ascii="Arial" w:hAnsi="Arial" w:cs="Arial"/>
                <w:b/>
                <w:sz w:val="18"/>
                <w:szCs w:val="18"/>
              </w:rPr>
              <w:t>€850</w:t>
            </w:r>
          </w:p>
        </w:tc>
      </w:tr>
      <w:tr w:rsidR="002864C4" w:rsidRPr="00FF34C3" w14:paraId="0B22B89A" w14:textId="77777777" w:rsidTr="008E30E4">
        <w:trPr>
          <w:cantSplit/>
        </w:trPr>
        <w:tc>
          <w:tcPr>
            <w:tcW w:w="3261" w:type="dxa"/>
            <w:tcBorders>
              <w:bottom w:val="nil"/>
            </w:tcBorders>
          </w:tcPr>
          <w:p w14:paraId="40D70943" w14:textId="77777777" w:rsidR="002864C4" w:rsidRPr="00FF34C3" w:rsidRDefault="002864C4" w:rsidP="002864C4">
            <w:pPr>
              <w:spacing w:after="120"/>
              <w:rPr>
                <w:rFonts w:ascii="Arial" w:hAnsi="Arial" w:cs="Arial"/>
                <w:b/>
                <w:sz w:val="18"/>
                <w:szCs w:val="18"/>
              </w:rPr>
            </w:pPr>
          </w:p>
        </w:tc>
        <w:tc>
          <w:tcPr>
            <w:tcW w:w="3402" w:type="dxa"/>
            <w:tcBorders>
              <w:bottom w:val="nil"/>
            </w:tcBorders>
            <w:vAlign w:val="center"/>
          </w:tcPr>
          <w:p w14:paraId="148B21EA" w14:textId="77777777" w:rsidR="002864C4" w:rsidRPr="00FF34C3" w:rsidRDefault="002864C4" w:rsidP="002864C4">
            <w:pPr>
              <w:pStyle w:val="2"/>
              <w:tabs>
                <w:tab w:val="left" w:pos="1512"/>
              </w:tabs>
              <w:jc w:val="center"/>
              <w:rPr>
                <w:rFonts w:ascii="Arial" w:hAnsi="Arial" w:cs="Arial"/>
                <w:b/>
                <w:sz w:val="18"/>
                <w:szCs w:val="18"/>
              </w:rPr>
            </w:pPr>
            <w:r w:rsidRPr="00FF34C3">
              <w:rPr>
                <w:rFonts w:ascii="Arial" w:hAnsi="Arial" w:cs="Arial"/>
                <w:b/>
                <w:sz w:val="18"/>
                <w:szCs w:val="18"/>
              </w:rPr>
              <w:t>201-500</w:t>
            </w:r>
          </w:p>
        </w:tc>
        <w:tc>
          <w:tcPr>
            <w:tcW w:w="1437" w:type="dxa"/>
            <w:tcBorders>
              <w:bottom w:val="nil"/>
            </w:tcBorders>
            <w:vAlign w:val="center"/>
          </w:tcPr>
          <w:p w14:paraId="38A0C7EE" w14:textId="77777777" w:rsidR="002864C4" w:rsidRPr="001157F5" w:rsidRDefault="002864C4" w:rsidP="002864C4">
            <w:pPr>
              <w:pStyle w:val="2"/>
              <w:jc w:val="center"/>
              <w:rPr>
                <w:rFonts w:ascii="Arial" w:hAnsi="Arial" w:cs="Arial"/>
                <w:b/>
                <w:sz w:val="18"/>
                <w:szCs w:val="18"/>
              </w:rPr>
            </w:pPr>
            <w:r>
              <w:rPr>
                <w:rFonts w:ascii="Arial" w:hAnsi="Arial" w:cs="Arial"/>
                <w:b/>
                <w:sz w:val="18"/>
                <w:szCs w:val="18"/>
              </w:rPr>
              <w:t>€1.700</w:t>
            </w:r>
          </w:p>
        </w:tc>
      </w:tr>
      <w:tr w:rsidR="002864C4" w:rsidRPr="00FF34C3" w14:paraId="28E89ED5" w14:textId="77777777" w:rsidTr="008E30E4">
        <w:trPr>
          <w:cantSplit/>
        </w:trPr>
        <w:tc>
          <w:tcPr>
            <w:tcW w:w="3261" w:type="dxa"/>
            <w:tcBorders>
              <w:bottom w:val="nil"/>
            </w:tcBorders>
          </w:tcPr>
          <w:p w14:paraId="4E1095D4" w14:textId="77777777" w:rsidR="002864C4" w:rsidRPr="00FF34C3" w:rsidRDefault="002864C4" w:rsidP="002864C4">
            <w:pPr>
              <w:spacing w:after="120"/>
              <w:rPr>
                <w:rFonts w:ascii="Arial" w:hAnsi="Arial" w:cs="Arial"/>
                <w:b/>
                <w:sz w:val="18"/>
                <w:szCs w:val="18"/>
              </w:rPr>
            </w:pPr>
          </w:p>
        </w:tc>
        <w:tc>
          <w:tcPr>
            <w:tcW w:w="3402" w:type="dxa"/>
            <w:tcBorders>
              <w:bottom w:val="nil"/>
            </w:tcBorders>
            <w:vAlign w:val="center"/>
          </w:tcPr>
          <w:p w14:paraId="6D50D475" w14:textId="77777777" w:rsidR="002864C4" w:rsidRPr="00FF34C3" w:rsidRDefault="002864C4" w:rsidP="002864C4">
            <w:pPr>
              <w:pStyle w:val="2"/>
              <w:tabs>
                <w:tab w:val="left" w:pos="1512"/>
              </w:tabs>
              <w:jc w:val="center"/>
              <w:rPr>
                <w:rFonts w:ascii="Arial" w:hAnsi="Arial" w:cs="Arial"/>
                <w:b/>
                <w:sz w:val="18"/>
                <w:szCs w:val="18"/>
              </w:rPr>
            </w:pPr>
            <w:r w:rsidRPr="00FF34C3">
              <w:rPr>
                <w:rFonts w:ascii="Arial" w:hAnsi="Arial" w:cs="Arial"/>
                <w:b/>
                <w:sz w:val="18"/>
                <w:szCs w:val="18"/>
              </w:rPr>
              <w:t>501-1.000</w:t>
            </w:r>
          </w:p>
        </w:tc>
        <w:tc>
          <w:tcPr>
            <w:tcW w:w="1437" w:type="dxa"/>
            <w:tcBorders>
              <w:bottom w:val="nil"/>
            </w:tcBorders>
            <w:vAlign w:val="center"/>
          </w:tcPr>
          <w:p w14:paraId="50F382AA" w14:textId="77777777" w:rsidR="002864C4" w:rsidRPr="001157F5" w:rsidRDefault="002864C4" w:rsidP="002864C4">
            <w:pPr>
              <w:pStyle w:val="2"/>
              <w:jc w:val="center"/>
              <w:rPr>
                <w:rFonts w:ascii="Arial" w:hAnsi="Arial" w:cs="Arial"/>
                <w:b/>
                <w:sz w:val="18"/>
                <w:szCs w:val="18"/>
              </w:rPr>
            </w:pPr>
            <w:r>
              <w:rPr>
                <w:rFonts w:ascii="Arial" w:hAnsi="Arial" w:cs="Arial"/>
                <w:b/>
                <w:sz w:val="18"/>
                <w:szCs w:val="18"/>
              </w:rPr>
              <w:t>€3.400</w:t>
            </w:r>
          </w:p>
        </w:tc>
      </w:tr>
      <w:tr w:rsidR="002864C4" w:rsidRPr="00FF34C3" w14:paraId="634CD659" w14:textId="77777777" w:rsidTr="008E30E4">
        <w:trPr>
          <w:cantSplit/>
        </w:trPr>
        <w:tc>
          <w:tcPr>
            <w:tcW w:w="3261" w:type="dxa"/>
            <w:tcBorders>
              <w:bottom w:val="nil"/>
            </w:tcBorders>
          </w:tcPr>
          <w:p w14:paraId="7F221A81" w14:textId="77777777" w:rsidR="002864C4" w:rsidRPr="00FF34C3" w:rsidRDefault="002864C4" w:rsidP="002864C4">
            <w:pPr>
              <w:spacing w:after="120"/>
              <w:rPr>
                <w:rFonts w:ascii="Arial" w:hAnsi="Arial" w:cs="Arial"/>
                <w:b/>
                <w:sz w:val="18"/>
                <w:szCs w:val="18"/>
              </w:rPr>
            </w:pPr>
          </w:p>
        </w:tc>
        <w:tc>
          <w:tcPr>
            <w:tcW w:w="3402" w:type="dxa"/>
            <w:tcBorders>
              <w:bottom w:val="nil"/>
            </w:tcBorders>
            <w:vAlign w:val="center"/>
          </w:tcPr>
          <w:p w14:paraId="5A5FD1DB" w14:textId="77777777" w:rsidR="002864C4" w:rsidRPr="00FF34C3" w:rsidRDefault="002864C4" w:rsidP="002864C4">
            <w:pPr>
              <w:pStyle w:val="2"/>
              <w:tabs>
                <w:tab w:val="left" w:pos="1512"/>
              </w:tabs>
              <w:jc w:val="center"/>
              <w:rPr>
                <w:rFonts w:ascii="Arial" w:hAnsi="Arial" w:cs="Arial"/>
                <w:b/>
                <w:sz w:val="18"/>
                <w:szCs w:val="18"/>
              </w:rPr>
            </w:pPr>
            <w:r w:rsidRPr="00FF34C3">
              <w:rPr>
                <w:rFonts w:ascii="Arial" w:hAnsi="Arial" w:cs="Arial"/>
                <w:b/>
                <w:sz w:val="18"/>
                <w:szCs w:val="18"/>
              </w:rPr>
              <w:t>1.001-2.000</w:t>
            </w:r>
          </w:p>
        </w:tc>
        <w:tc>
          <w:tcPr>
            <w:tcW w:w="1437" w:type="dxa"/>
            <w:tcBorders>
              <w:bottom w:val="nil"/>
            </w:tcBorders>
            <w:vAlign w:val="center"/>
          </w:tcPr>
          <w:p w14:paraId="2902964D" w14:textId="77777777" w:rsidR="002864C4" w:rsidRPr="001157F5" w:rsidRDefault="002864C4" w:rsidP="002864C4">
            <w:pPr>
              <w:pStyle w:val="2"/>
              <w:jc w:val="center"/>
              <w:rPr>
                <w:rFonts w:ascii="Arial" w:hAnsi="Arial" w:cs="Arial"/>
                <w:b/>
                <w:sz w:val="18"/>
                <w:szCs w:val="18"/>
              </w:rPr>
            </w:pPr>
            <w:r>
              <w:rPr>
                <w:rFonts w:ascii="Arial" w:hAnsi="Arial" w:cs="Arial"/>
                <w:b/>
                <w:sz w:val="18"/>
                <w:szCs w:val="18"/>
              </w:rPr>
              <w:t>€5.100</w:t>
            </w:r>
          </w:p>
        </w:tc>
      </w:tr>
      <w:tr w:rsidR="002864C4" w:rsidRPr="00FF34C3" w14:paraId="4CD2A20E" w14:textId="77777777" w:rsidTr="008E30E4">
        <w:trPr>
          <w:cantSplit/>
        </w:trPr>
        <w:tc>
          <w:tcPr>
            <w:tcW w:w="3261" w:type="dxa"/>
            <w:tcBorders>
              <w:bottom w:val="nil"/>
            </w:tcBorders>
          </w:tcPr>
          <w:p w14:paraId="15C7EE06" w14:textId="77777777" w:rsidR="002864C4" w:rsidRPr="00FF34C3" w:rsidRDefault="002864C4" w:rsidP="002864C4">
            <w:pPr>
              <w:spacing w:after="120"/>
              <w:rPr>
                <w:rFonts w:ascii="Arial" w:hAnsi="Arial" w:cs="Arial"/>
                <w:b/>
                <w:sz w:val="18"/>
                <w:szCs w:val="18"/>
              </w:rPr>
            </w:pPr>
          </w:p>
        </w:tc>
        <w:tc>
          <w:tcPr>
            <w:tcW w:w="3402" w:type="dxa"/>
            <w:tcBorders>
              <w:bottom w:val="nil"/>
            </w:tcBorders>
            <w:vAlign w:val="center"/>
          </w:tcPr>
          <w:p w14:paraId="32031FEB" w14:textId="77777777" w:rsidR="002864C4" w:rsidRPr="00FF34C3" w:rsidRDefault="002864C4" w:rsidP="002864C4">
            <w:pPr>
              <w:pStyle w:val="2"/>
              <w:tabs>
                <w:tab w:val="left" w:pos="1512"/>
              </w:tabs>
              <w:jc w:val="center"/>
              <w:rPr>
                <w:rFonts w:ascii="Arial" w:hAnsi="Arial" w:cs="Arial"/>
                <w:b/>
                <w:sz w:val="18"/>
                <w:szCs w:val="18"/>
              </w:rPr>
            </w:pPr>
            <w:r w:rsidRPr="00FF34C3">
              <w:rPr>
                <w:rFonts w:ascii="Arial" w:hAnsi="Arial" w:cs="Arial"/>
                <w:b/>
                <w:sz w:val="18"/>
                <w:szCs w:val="18"/>
              </w:rPr>
              <w:t>2.001-3.000</w:t>
            </w:r>
          </w:p>
        </w:tc>
        <w:tc>
          <w:tcPr>
            <w:tcW w:w="1437" w:type="dxa"/>
            <w:tcBorders>
              <w:bottom w:val="nil"/>
            </w:tcBorders>
            <w:vAlign w:val="center"/>
          </w:tcPr>
          <w:p w14:paraId="3CEC35A4" w14:textId="77777777" w:rsidR="002864C4" w:rsidRPr="001157F5" w:rsidRDefault="002864C4" w:rsidP="002864C4">
            <w:pPr>
              <w:pStyle w:val="2"/>
              <w:jc w:val="center"/>
              <w:rPr>
                <w:rFonts w:ascii="Arial" w:hAnsi="Arial" w:cs="Arial"/>
                <w:b/>
                <w:sz w:val="18"/>
                <w:szCs w:val="18"/>
              </w:rPr>
            </w:pPr>
            <w:r>
              <w:rPr>
                <w:rFonts w:ascii="Arial" w:hAnsi="Arial" w:cs="Arial"/>
                <w:b/>
                <w:sz w:val="18"/>
                <w:szCs w:val="18"/>
              </w:rPr>
              <w:t>€6.800</w:t>
            </w:r>
          </w:p>
        </w:tc>
      </w:tr>
      <w:tr w:rsidR="002864C4" w:rsidRPr="00FF34C3" w14:paraId="61B6F12B" w14:textId="77777777" w:rsidTr="008E30E4">
        <w:trPr>
          <w:cantSplit/>
        </w:trPr>
        <w:tc>
          <w:tcPr>
            <w:tcW w:w="3261" w:type="dxa"/>
            <w:tcBorders>
              <w:bottom w:val="nil"/>
            </w:tcBorders>
          </w:tcPr>
          <w:p w14:paraId="479FC5E2" w14:textId="77777777" w:rsidR="002864C4" w:rsidRPr="00FF34C3" w:rsidRDefault="002864C4" w:rsidP="002864C4">
            <w:pPr>
              <w:spacing w:after="120"/>
              <w:rPr>
                <w:rFonts w:ascii="Arial" w:hAnsi="Arial" w:cs="Arial"/>
                <w:b/>
                <w:sz w:val="18"/>
                <w:szCs w:val="18"/>
              </w:rPr>
            </w:pPr>
          </w:p>
        </w:tc>
        <w:tc>
          <w:tcPr>
            <w:tcW w:w="3402" w:type="dxa"/>
            <w:tcBorders>
              <w:bottom w:val="nil"/>
            </w:tcBorders>
            <w:vAlign w:val="center"/>
          </w:tcPr>
          <w:p w14:paraId="57773DED" w14:textId="77777777" w:rsidR="002864C4" w:rsidRPr="00FF34C3" w:rsidRDefault="002864C4" w:rsidP="002864C4">
            <w:pPr>
              <w:pStyle w:val="2"/>
              <w:tabs>
                <w:tab w:val="left" w:pos="1512"/>
              </w:tabs>
              <w:jc w:val="center"/>
              <w:rPr>
                <w:rFonts w:ascii="Arial" w:hAnsi="Arial" w:cs="Arial"/>
                <w:b/>
                <w:sz w:val="18"/>
                <w:szCs w:val="18"/>
              </w:rPr>
            </w:pPr>
            <w:r w:rsidRPr="00FF34C3">
              <w:rPr>
                <w:rFonts w:ascii="Arial" w:hAnsi="Arial" w:cs="Arial"/>
                <w:b/>
                <w:sz w:val="18"/>
                <w:szCs w:val="18"/>
              </w:rPr>
              <w:t>3.001-4.000</w:t>
            </w:r>
          </w:p>
        </w:tc>
        <w:tc>
          <w:tcPr>
            <w:tcW w:w="1437" w:type="dxa"/>
            <w:tcBorders>
              <w:bottom w:val="nil"/>
            </w:tcBorders>
            <w:vAlign w:val="center"/>
          </w:tcPr>
          <w:p w14:paraId="148F8A3D" w14:textId="77777777" w:rsidR="002864C4" w:rsidRPr="001157F5" w:rsidRDefault="002864C4" w:rsidP="002864C4">
            <w:pPr>
              <w:pStyle w:val="2"/>
              <w:jc w:val="center"/>
              <w:rPr>
                <w:rFonts w:ascii="Arial" w:hAnsi="Arial" w:cs="Arial"/>
                <w:b/>
                <w:sz w:val="18"/>
                <w:szCs w:val="18"/>
              </w:rPr>
            </w:pPr>
            <w:r>
              <w:rPr>
                <w:rFonts w:ascii="Arial" w:hAnsi="Arial" w:cs="Arial"/>
                <w:b/>
                <w:sz w:val="18"/>
                <w:szCs w:val="18"/>
              </w:rPr>
              <w:t>€8.500</w:t>
            </w:r>
          </w:p>
        </w:tc>
      </w:tr>
      <w:tr w:rsidR="002864C4" w:rsidRPr="00FF34C3" w14:paraId="6607A113" w14:textId="77777777" w:rsidTr="008E30E4">
        <w:trPr>
          <w:cantSplit/>
        </w:trPr>
        <w:tc>
          <w:tcPr>
            <w:tcW w:w="3261" w:type="dxa"/>
            <w:tcBorders>
              <w:bottom w:val="nil"/>
            </w:tcBorders>
          </w:tcPr>
          <w:p w14:paraId="424EE280" w14:textId="77777777" w:rsidR="002864C4" w:rsidRPr="00FF34C3" w:rsidRDefault="002864C4" w:rsidP="002864C4">
            <w:pPr>
              <w:spacing w:after="120"/>
              <w:rPr>
                <w:rFonts w:ascii="Arial" w:hAnsi="Arial" w:cs="Arial"/>
                <w:b/>
                <w:sz w:val="18"/>
                <w:szCs w:val="18"/>
              </w:rPr>
            </w:pPr>
          </w:p>
        </w:tc>
        <w:tc>
          <w:tcPr>
            <w:tcW w:w="3402" w:type="dxa"/>
            <w:tcBorders>
              <w:bottom w:val="nil"/>
            </w:tcBorders>
            <w:vAlign w:val="center"/>
          </w:tcPr>
          <w:p w14:paraId="67542735" w14:textId="77777777" w:rsidR="002864C4" w:rsidRPr="00FF34C3" w:rsidRDefault="002864C4" w:rsidP="002864C4">
            <w:pPr>
              <w:pStyle w:val="2"/>
              <w:tabs>
                <w:tab w:val="left" w:pos="1512"/>
              </w:tabs>
              <w:jc w:val="center"/>
              <w:rPr>
                <w:rFonts w:ascii="Arial" w:hAnsi="Arial" w:cs="Arial"/>
                <w:b/>
                <w:sz w:val="18"/>
                <w:szCs w:val="18"/>
              </w:rPr>
            </w:pPr>
            <w:r w:rsidRPr="00FF34C3">
              <w:rPr>
                <w:rFonts w:ascii="Arial" w:hAnsi="Arial" w:cs="Arial"/>
                <w:b/>
                <w:sz w:val="18"/>
                <w:szCs w:val="18"/>
              </w:rPr>
              <w:t>4.001-5.000</w:t>
            </w:r>
          </w:p>
        </w:tc>
        <w:tc>
          <w:tcPr>
            <w:tcW w:w="1437" w:type="dxa"/>
            <w:tcBorders>
              <w:bottom w:val="nil"/>
            </w:tcBorders>
            <w:vAlign w:val="center"/>
          </w:tcPr>
          <w:p w14:paraId="22710CE0" w14:textId="77777777" w:rsidR="002864C4" w:rsidRPr="001157F5" w:rsidRDefault="002864C4" w:rsidP="002864C4">
            <w:pPr>
              <w:pStyle w:val="2"/>
              <w:jc w:val="center"/>
              <w:rPr>
                <w:rFonts w:ascii="Arial" w:hAnsi="Arial" w:cs="Arial"/>
                <w:b/>
                <w:sz w:val="18"/>
                <w:szCs w:val="18"/>
              </w:rPr>
            </w:pPr>
            <w:r>
              <w:rPr>
                <w:rFonts w:ascii="Arial" w:hAnsi="Arial" w:cs="Arial"/>
                <w:b/>
                <w:sz w:val="18"/>
                <w:szCs w:val="18"/>
              </w:rPr>
              <w:t>€10.300</w:t>
            </w:r>
          </w:p>
        </w:tc>
      </w:tr>
      <w:tr w:rsidR="002864C4" w:rsidRPr="00FF34C3" w14:paraId="0A68DCC9" w14:textId="77777777" w:rsidTr="008E30E4">
        <w:trPr>
          <w:cantSplit/>
        </w:trPr>
        <w:tc>
          <w:tcPr>
            <w:tcW w:w="3261" w:type="dxa"/>
            <w:tcBorders>
              <w:bottom w:val="nil"/>
            </w:tcBorders>
          </w:tcPr>
          <w:p w14:paraId="4DBB3C7B" w14:textId="77777777" w:rsidR="002864C4" w:rsidRPr="00FF34C3" w:rsidRDefault="002864C4" w:rsidP="002864C4">
            <w:pPr>
              <w:spacing w:after="120"/>
              <w:rPr>
                <w:rFonts w:ascii="Arial" w:hAnsi="Arial" w:cs="Arial"/>
                <w:b/>
                <w:sz w:val="18"/>
                <w:szCs w:val="18"/>
              </w:rPr>
            </w:pPr>
          </w:p>
        </w:tc>
        <w:tc>
          <w:tcPr>
            <w:tcW w:w="3402" w:type="dxa"/>
            <w:tcBorders>
              <w:bottom w:val="nil"/>
            </w:tcBorders>
            <w:vAlign w:val="center"/>
          </w:tcPr>
          <w:p w14:paraId="230C07B6" w14:textId="77777777" w:rsidR="002864C4" w:rsidRPr="00FF34C3" w:rsidRDefault="002864C4" w:rsidP="002864C4">
            <w:pPr>
              <w:pStyle w:val="2"/>
              <w:tabs>
                <w:tab w:val="left" w:pos="1512"/>
              </w:tabs>
              <w:jc w:val="center"/>
              <w:rPr>
                <w:rFonts w:ascii="Arial" w:hAnsi="Arial" w:cs="Arial"/>
                <w:b/>
                <w:sz w:val="18"/>
                <w:szCs w:val="18"/>
              </w:rPr>
            </w:pPr>
            <w:r w:rsidRPr="00FF34C3">
              <w:rPr>
                <w:rFonts w:ascii="Arial" w:hAnsi="Arial" w:cs="Arial"/>
                <w:b/>
                <w:sz w:val="18"/>
                <w:szCs w:val="18"/>
              </w:rPr>
              <w:t>5.001-6.000</w:t>
            </w:r>
          </w:p>
        </w:tc>
        <w:tc>
          <w:tcPr>
            <w:tcW w:w="1437" w:type="dxa"/>
            <w:tcBorders>
              <w:bottom w:val="nil"/>
            </w:tcBorders>
            <w:vAlign w:val="center"/>
          </w:tcPr>
          <w:p w14:paraId="1F90A078" w14:textId="77777777" w:rsidR="002864C4" w:rsidRPr="001157F5" w:rsidRDefault="002864C4" w:rsidP="002864C4">
            <w:pPr>
              <w:pStyle w:val="2"/>
              <w:jc w:val="center"/>
              <w:rPr>
                <w:rFonts w:ascii="Arial" w:hAnsi="Arial" w:cs="Arial"/>
                <w:b/>
                <w:sz w:val="18"/>
                <w:szCs w:val="18"/>
              </w:rPr>
            </w:pPr>
            <w:r>
              <w:rPr>
                <w:rFonts w:ascii="Arial" w:hAnsi="Arial" w:cs="Arial"/>
                <w:b/>
                <w:sz w:val="18"/>
                <w:szCs w:val="18"/>
              </w:rPr>
              <w:t>€12.000</w:t>
            </w:r>
          </w:p>
        </w:tc>
      </w:tr>
      <w:tr w:rsidR="002864C4" w:rsidRPr="00FF34C3" w14:paraId="236F8EEC" w14:textId="77777777" w:rsidTr="008E30E4">
        <w:trPr>
          <w:cantSplit/>
        </w:trPr>
        <w:tc>
          <w:tcPr>
            <w:tcW w:w="3261" w:type="dxa"/>
            <w:tcBorders>
              <w:bottom w:val="nil"/>
            </w:tcBorders>
          </w:tcPr>
          <w:p w14:paraId="73EABF8B" w14:textId="77777777" w:rsidR="002864C4" w:rsidRPr="00FF34C3" w:rsidRDefault="002864C4" w:rsidP="002864C4">
            <w:pPr>
              <w:spacing w:after="120"/>
              <w:rPr>
                <w:rFonts w:ascii="Arial" w:hAnsi="Arial" w:cs="Arial"/>
                <w:b/>
                <w:sz w:val="18"/>
                <w:szCs w:val="18"/>
              </w:rPr>
            </w:pPr>
          </w:p>
        </w:tc>
        <w:tc>
          <w:tcPr>
            <w:tcW w:w="3402" w:type="dxa"/>
            <w:tcBorders>
              <w:bottom w:val="nil"/>
            </w:tcBorders>
            <w:vAlign w:val="center"/>
          </w:tcPr>
          <w:p w14:paraId="0FC31E00" w14:textId="77777777" w:rsidR="002864C4" w:rsidRPr="00FF34C3" w:rsidRDefault="002864C4" w:rsidP="002864C4">
            <w:pPr>
              <w:pStyle w:val="2"/>
              <w:tabs>
                <w:tab w:val="left" w:pos="1512"/>
              </w:tabs>
              <w:jc w:val="center"/>
              <w:rPr>
                <w:rFonts w:ascii="Arial" w:hAnsi="Arial" w:cs="Arial"/>
                <w:b/>
                <w:sz w:val="18"/>
                <w:szCs w:val="18"/>
              </w:rPr>
            </w:pPr>
            <w:r w:rsidRPr="00FF34C3">
              <w:rPr>
                <w:rFonts w:ascii="Arial" w:hAnsi="Arial" w:cs="Arial"/>
                <w:b/>
                <w:sz w:val="18"/>
                <w:szCs w:val="18"/>
              </w:rPr>
              <w:t>6.001-8.000</w:t>
            </w:r>
          </w:p>
        </w:tc>
        <w:tc>
          <w:tcPr>
            <w:tcW w:w="1437" w:type="dxa"/>
            <w:tcBorders>
              <w:bottom w:val="nil"/>
            </w:tcBorders>
            <w:vAlign w:val="center"/>
          </w:tcPr>
          <w:p w14:paraId="4B62AC0F" w14:textId="77777777" w:rsidR="002864C4" w:rsidRPr="001157F5" w:rsidRDefault="002864C4" w:rsidP="002864C4">
            <w:pPr>
              <w:pStyle w:val="2"/>
              <w:jc w:val="center"/>
              <w:rPr>
                <w:rFonts w:ascii="Arial" w:hAnsi="Arial" w:cs="Arial"/>
                <w:b/>
                <w:sz w:val="18"/>
                <w:szCs w:val="18"/>
              </w:rPr>
            </w:pPr>
            <w:r>
              <w:rPr>
                <w:rFonts w:ascii="Arial" w:hAnsi="Arial" w:cs="Arial"/>
                <w:b/>
                <w:sz w:val="18"/>
                <w:szCs w:val="18"/>
              </w:rPr>
              <w:t>€13.700</w:t>
            </w:r>
          </w:p>
        </w:tc>
      </w:tr>
      <w:tr w:rsidR="002864C4" w:rsidRPr="00FF34C3" w14:paraId="7E5673BE" w14:textId="77777777" w:rsidTr="008E30E4">
        <w:trPr>
          <w:cantSplit/>
        </w:trPr>
        <w:tc>
          <w:tcPr>
            <w:tcW w:w="3261" w:type="dxa"/>
            <w:tcBorders>
              <w:bottom w:val="nil"/>
            </w:tcBorders>
          </w:tcPr>
          <w:p w14:paraId="09CAB48D" w14:textId="77777777" w:rsidR="002864C4" w:rsidRPr="00FF34C3" w:rsidRDefault="002864C4" w:rsidP="002864C4">
            <w:pPr>
              <w:spacing w:after="120"/>
              <w:rPr>
                <w:rFonts w:ascii="Arial" w:hAnsi="Arial" w:cs="Arial"/>
                <w:b/>
                <w:sz w:val="18"/>
                <w:szCs w:val="18"/>
              </w:rPr>
            </w:pPr>
          </w:p>
        </w:tc>
        <w:tc>
          <w:tcPr>
            <w:tcW w:w="3402" w:type="dxa"/>
            <w:tcBorders>
              <w:bottom w:val="nil"/>
            </w:tcBorders>
            <w:vAlign w:val="center"/>
          </w:tcPr>
          <w:p w14:paraId="407D3D45" w14:textId="77777777" w:rsidR="002864C4" w:rsidRPr="00FF34C3" w:rsidRDefault="002864C4" w:rsidP="002864C4">
            <w:pPr>
              <w:pStyle w:val="2"/>
              <w:tabs>
                <w:tab w:val="left" w:pos="1512"/>
              </w:tabs>
              <w:jc w:val="center"/>
              <w:rPr>
                <w:rFonts w:ascii="Arial" w:hAnsi="Arial" w:cs="Arial"/>
                <w:b/>
                <w:sz w:val="18"/>
                <w:szCs w:val="18"/>
              </w:rPr>
            </w:pPr>
            <w:r w:rsidRPr="00FF34C3">
              <w:rPr>
                <w:rFonts w:ascii="Arial" w:hAnsi="Arial" w:cs="Arial"/>
                <w:b/>
                <w:sz w:val="18"/>
                <w:szCs w:val="18"/>
              </w:rPr>
              <w:t>8.001-10.000</w:t>
            </w:r>
          </w:p>
        </w:tc>
        <w:tc>
          <w:tcPr>
            <w:tcW w:w="1437" w:type="dxa"/>
            <w:tcBorders>
              <w:bottom w:val="nil"/>
            </w:tcBorders>
            <w:vAlign w:val="center"/>
          </w:tcPr>
          <w:p w14:paraId="1FA454D0" w14:textId="77777777" w:rsidR="002864C4" w:rsidRPr="001157F5" w:rsidRDefault="002864C4" w:rsidP="002864C4">
            <w:pPr>
              <w:pStyle w:val="2"/>
              <w:jc w:val="center"/>
              <w:rPr>
                <w:rFonts w:ascii="Arial" w:hAnsi="Arial" w:cs="Arial"/>
                <w:b/>
                <w:sz w:val="18"/>
                <w:szCs w:val="18"/>
              </w:rPr>
            </w:pPr>
            <w:r>
              <w:rPr>
                <w:rFonts w:ascii="Arial" w:hAnsi="Arial" w:cs="Arial"/>
                <w:b/>
                <w:sz w:val="18"/>
                <w:szCs w:val="18"/>
              </w:rPr>
              <w:t>€15.400</w:t>
            </w:r>
          </w:p>
        </w:tc>
      </w:tr>
      <w:tr w:rsidR="002864C4" w:rsidRPr="00FF34C3" w14:paraId="1156350B" w14:textId="77777777" w:rsidTr="008E30E4">
        <w:trPr>
          <w:cantSplit/>
        </w:trPr>
        <w:tc>
          <w:tcPr>
            <w:tcW w:w="3261" w:type="dxa"/>
            <w:tcBorders>
              <w:bottom w:val="nil"/>
            </w:tcBorders>
          </w:tcPr>
          <w:p w14:paraId="55A34B77" w14:textId="77777777" w:rsidR="002864C4" w:rsidRPr="00FF34C3" w:rsidRDefault="002864C4" w:rsidP="002864C4">
            <w:pPr>
              <w:spacing w:after="120"/>
              <w:rPr>
                <w:rFonts w:ascii="Arial" w:hAnsi="Arial" w:cs="Arial"/>
                <w:b/>
                <w:sz w:val="18"/>
                <w:szCs w:val="18"/>
              </w:rPr>
            </w:pPr>
          </w:p>
        </w:tc>
        <w:tc>
          <w:tcPr>
            <w:tcW w:w="3402" w:type="dxa"/>
            <w:tcBorders>
              <w:bottom w:val="nil"/>
            </w:tcBorders>
            <w:vAlign w:val="center"/>
          </w:tcPr>
          <w:p w14:paraId="7492EF6A" w14:textId="77777777" w:rsidR="002864C4" w:rsidRPr="00FF34C3" w:rsidRDefault="002864C4" w:rsidP="002864C4">
            <w:pPr>
              <w:pStyle w:val="2"/>
              <w:tabs>
                <w:tab w:val="left" w:pos="1512"/>
              </w:tabs>
              <w:jc w:val="center"/>
              <w:rPr>
                <w:rFonts w:ascii="Arial" w:hAnsi="Arial" w:cs="Arial"/>
                <w:b/>
                <w:sz w:val="18"/>
                <w:szCs w:val="18"/>
              </w:rPr>
            </w:pPr>
            <w:r w:rsidRPr="00FF34C3">
              <w:rPr>
                <w:rFonts w:ascii="Arial" w:hAnsi="Arial" w:cs="Arial"/>
                <w:b/>
                <w:sz w:val="18"/>
                <w:szCs w:val="18"/>
              </w:rPr>
              <w:t>10.001-12.000</w:t>
            </w:r>
          </w:p>
        </w:tc>
        <w:tc>
          <w:tcPr>
            <w:tcW w:w="1437" w:type="dxa"/>
            <w:tcBorders>
              <w:bottom w:val="nil"/>
            </w:tcBorders>
            <w:vAlign w:val="center"/>
          </w:tcPr>
          <w:p w14:paraId="43F7B7E2" w14:textId="77777777" w:rsidR="002864C4" w:rsidRPr="001157F5" w:rsidRDefault="002864C4" w:rsidP="002864C4">
            <w:pPr>
              <w:pStyle w:val="2"/>
              <w:jc w:val="center"/>
              <w:rPr>
                <w:rFonts w:ascii="Arial" w:hAnsi="Arial" w:cs="Arial"/>
                <w:b/>
                <w:sz w:val="18"/>
                <w:szCs w:val="18"/>
              </w:rPr>
            </w:pPr>
            <w:r>
              <w:rPr>
                <w:rFonts w:ascii="Arial" w:hAnsi="Arial" w:cs="Arial"/>
                <w:b/>
                <w:sz w:val="18"/>
                <w:szCs w:val="18"/>
              </w:rPr>
              <w:t>€17.000</w:t>
            </w:r>
          </w:p>
        </w:tc>
      </w:tr>
      <w:tr w:rsidR="002864C4" w:rsidRPr="00FF34C3" w14:paraId="1E6A6AC9" w14:textId="77777777" w:rsidTr="008E30E4">
        <w:trPr>
          <w:cantSplit/>
        </w:trPr>
        <w:tc>
          <w:tcPr>
            <w:tcW w:w="3261" w:type="dxa"/>
            <w:tcBorders>
              <w:bottom w:val="nil"/>
            </w:tcBorders>
          </w:tcPr>
          <w:p w14:paraId="333D959A" w14:textId="77777777" w:rsidR="002864C4" w:rsidRPr="00FF34C3" w:rsidRDefault="002864C4" w:rsidP="002864C4">
            <w:pPr>
              <w:spacing w:after="120"/>
              <w:rPr>
                <w:rFonts w:ascii="Arial" w:hAnsi="Arial" w:cs="Arial"/>
                <w:b/>
                <w:sz w:val="18"/>
                <w:szCs w:val="18"/>
              </w:rPr>
            </w:pPr>
          </w:p>
        </w:tc>
        <w:tc>
          <w:tcPr>
            <w:tcW w:w="3402" w:type="dxa"/>
            <w:tcBorders>
              <w:bottom w:val="nil"/>
            </w:tcBorders>
            <w:vAlign w:val="center"/>
          </w:tcPr>
          <w:p w14:paraId="5CA10E09" w14:textId="77777777" w:rsidR="002864C4" w:rsidRPr="00FF34C3" w:rsidRDefault="002864C4" w:rsidP="002864C4">
            <w:pPr>
              <w:pStyle w:val="2"/>
              <w:tabs>
                <w:tab w:val="left" w:pos="1512"/>
              </w:tabs>
              <w:jc w:val="center"/>
              <w:rPr>
                <w:rFonts w:ascii="Arial" w:hAnsi="Arial" w:cs="Arial"/>
                <w:b/>
                <w:sz w:val="18"/>
                <w:szCs w:val="18"/>
              </w:rPr>
            </w:pPr>
            <w:r w:rsidRPr="00FF34C3">
              <w:rPr>
                <w:rFonts w:ascii="Arial" w:hAnsi="Arial" w:cs="Arial"/>
                <w:b/>
                <w:sz w:val="18"/>
                <w:szCs w:val="18"/>
              </w:rPr>
              <w:t>12.001-15.000</w:t>
            </w:r>
          </w:p>
        </w:tc>
        <w:tc>
          <w:tcPr>
            <w:tcW w:w="1437" w:type="dxa"/>
            <w:tcBorders>
              <w:bottom w:val="nil"/>
            </w:tcBorders>
            <w:vAlign w:val="center"/>
          </w:tcPr>
          <w:p w14:paraId="29A447FC" w14:textId="77777777" w:rsidR="002864C4" w:rsidRPr="001157F5" w:rsidRDefault="002864C4" w:rsidP="002864C4">
            <w:pPr>
              <w:pStyle w:val="2"/>
              <w:jc w:val="center"/>
              <w:rPr>
                <w:rFonts w:ascii="Arial" w:hAnsi="Arial" w:cs="Arial"/>
                <w:b/>
                <w:sz w:val="18"/>
                <w:szCs w:val="18"/>
              </w:rPr>
            </w:pPr>
            <w:r>
              <w:rPr>
                <w:rFonts w:ascii="Arial" w:hAnsi="Arial" w:cs="Arial"/>
                <w:b/>
                <w:sz w:val="18"/>
                <w:szCs w:val="18"/>
              </w:rPr>
              <w:t>€20.500</w:t>
            </w:r>
          </w:p>
        </w:tc>
      </w:tr>
      <w:tr w:rsidR="002864C4" w:rsidRPr="00FF34C3" w14:paraId="1F312834" w14:textId="77777777" w:rsidTr="008E30E4">
        <w:trPr>
          <w:cantSplit/>
        </w:trPr>
        <w:tc>
          <w:tcPr>
            <w:tcW w:w="3261" w:type="dxa"/>
            <w:tcBorders>
              <w:bottom w:val="nil"/>
            </w:tcBorders>
          </w:tcPr>
          <w:p w14:paraId="738F6B7F" w14:textId="77777777" w:rsidR="002864C4" w:rsidRPr="00FF34C3" w:rsidRDefault="002864C4" w:rsidP="002864C4">
            <w:pPr>
              <w:spacing w:after="120"/>
              <w:rPr>
                <w:rFonts w:ascii="Arial" w:hAnsi="Arial" w:cs="Arial"/>
                <w:b/>
                <w:sz w:val="18"/>
                <w:szCs w:val="18"/>
              </w:rPr>
            </w:pPr>
          </w:p>
        </w:tc>
        <w:tc>
          <w:tcPr>
            <w:tcW w:w="3402" w:type="dxa"/>
            <w:tcBorders>
              <w:bottom w:val="nil"/>
            </w:tcBorders>
            <w:vAlign w:val="center"/>
          </w:tcPr>
          <w:p w14:paraId="601BD61B" w14:textId="77777777" w:rsidR="002864C4" w:rsidRPr="00FF34C3" w:rsidRDefault="002864C4" w:rsidP="002864C4">
            <w:pPr>
              <w:pStyle w:val="2"/>
              <w:tabs>
                <w:tab w:val="left" w:pos="1512"/>
              </w:tabs>
              <w:jc w:val="center"/>
              <w:rPr>
                <w:rFonts w:ascii="Arial" w:hAnsi="Arial" w:cs="Arial"/>
                <w:b/>
                <w:sz w:val="18"/>
                <w:szCs w:val="18"/>
              </w:rPr>
            </w:pPr>
            <w:r w:rsidRPr="00FF34C3">
              <w:rPr>
                <w:rFonts w:ascii="Arial" w:hAnsi="Arial" w:cs="Arial"/>
                <w:b/>
                <w:sz w:val="18"/>
                <w:szCs w:val="18"/>
              </w:rPr>
              <w:t>15.001-20.000</w:t>
            </w:r>
          </w:p>
        </w:tc>
        <w:tc>
          <w:tcPr>
            <w:tcW w:w="1437" w:type="dxa"/>
            <w:tcBorders>
              <w:bottom w:val="nil"/>
            </w:tcBorders>
            <w:vAlign w:val="center"/>
          </w:tcPr>
          <w:p w14:paraId="26F1A419" w14:textId="77777777" w:rsidR="002864C4" w:rsidRPr="001157F5" w:rsidRDefault="002864C4" w:rsidP="002864C4">
            <w:pPr>
              <w:pStyle w:val="2"/>
              <w:jc w:val="center"/>
              <w:rPr>
                <w:rFonts w:ascii="Arial" w:hAnsi="Arial" w:cs="Arial"/>
                <w:b/>
                <w:sz w:val="18"/>
                <w:szCs w:val="18"/>
              </w:rPr>
            </w:pPr>
            <w:r>
              <w:rPr>
                <w:rFonts w:ascii="Arial" w:hAnsi="Arial" w:cs="Arial"/>
                <w:b/>
                <w:sz w:val="18"/>
                <w:szCs w:val="18"/>
              </w:rPr>
              <w:t>€25.600</w:t>
            </w:r>
          </w:p>
        </w:tc>
      </w:tr>
      <w:tr w:rsidR="002864C4" w:rsidRPr="00FF34C3" w14:paraId="7277EF1F" w14:textId="77777777" w:rsidTr="008E30E4">
        <w:trPr>
          <w:cantSplit/>
        </w:trPr>
        <w:tc>
          <w:tcPr>
            <w:tcW w:w="3261" w:type="dxa"/>
            <w:tcBorders>
              <w:bottom w:val="nil"/>
            </w:tcBorders>
          </w:tcPr>
          <w:p w14:paraId="3BE0138E" w14:textId="77777777" w:rsidR="002864C4" w:rsidRPr="00FF34C3" w:rsidRDefault="002864C4" w:rsidP="002864C4">
            <w:pPr>
              <w:spacing w:after="120"/>
              <w:rPr>
                <w:rFonts w:ascii="Arial" w:hAnsi="Arial" w:cs="Arial"/>
                <w:b/>
                <w:sz w:val="18"/>
                <w:szCs w:val="18"/>
              </w:rPr>
            </w:pPr>
          </w:p>
        </w:tc>
        <w:tc>
          <w:tcPr>
            <w:tcW w:w="3402" w:type="dxa"/>
            <w:tcBorders>
              <w:bottom w:val="nil"/>
            </w:tcBorders>
            <w:vAlign w:val="center"/>
          </w:tcPr>
          <w:p w14:paraId="1E5AFF10" w14:textId="77777777" w:rsidR="002864C4" w:rsidRPr="00FF34C3" w:rsidRDefault="002864C4" w:rsidP="002864C4">
            <w:pPr>
              <w:pStyle w:val="2"/>
              <w:tabs>
                <w:tab w:val="left" w:pos="1512"/>
              </w:tabs>
              <w:jc w:val="center"/>
              <w:rPr>
                <w:rFonts w:ascii="Arial" w:hAnsi="Arial" w:cs="Arial"/>
                <w:b/>
                <w:sz w:val="18"/>
                <w:szCs w:val="18"/>
              </w:rPr>
            </w:pPr>
            <w:r w:rsidRPr="00FF34C3">
              <w:rPr>
                <w:rFonts w:ascii="Arial" w:hAnsi="Arial" w:cs="Arial"/>
                <w:b/>
                <w:sz w:val="18"/>
                <w:szCs w:val="18"/>
              </w:rPr>
              <w:t>20.001-25.000</w:t>
            </w:r>
          </w:p>
        </w:tc>
        <w:tc>
          <w:tcPr>
            <w:tcW w:w="1437" w:type="dxa"/>
            <w:tcBorders>
              <w:bottom w:val="nil"/>
            </w:tcBorders>
            <w:vAlign w:val="center"/>
          </w:tcPr>
          <w:p w14:paraId="23F7BF70" w14:textId="77777777" w:rsidR="002864C4" w:rsidRPr="001157F5" w:rsidRDefault="002864C4" w:rsidP="002864C4">
            <w:pPr>
              <w:pStyle w:val="2"/>
              <w:jc w:val="center"/>
              <w:rPr>
                <w:rFonts w:ascii="Arial" w:hAnsi="Arial" w:cs="Arial"/>
                <w:b/>
                <w:sz w:val="18"/>
                <w:szCs w:val="18"/>
              </w:rPr>
            </w:pPr>
            <w:r>
              <w:rPr>
                <w:rFonts w:ascii="Arial" w:hAnsi="Arial" w:cs="Arial"/>
                <w:b/>
                <w:sz w:val="18"/>
                <w:szCs w:val="18"/>
              </w:rPr>
              <w:t>€30.800</w:t>
            </w:r>
          </w:p>
        </w:tc>
      </w:tr>
      <w:tr w:rsidR="002864C4" w:rsidRPr="00FF34C3" w14:paraId="2B57E159" w14:textId="77777777" w:rsidTr="008E30E4">
        <w:trPr>
          <w:cantSplit/>
        </w:trPr>
        <w:tc>
          <w:tcPr>
            <w:tcW w:w="3261" w:type="dxa"/>
            <w:tcBorders>
              <w:bottom w:val="nil"/>
            </w:tcBorders>
          </w:tcPr>
          <w:p w14:paraId="7E1D6461" w14:textId="77777777" w:rsidR="002864C4" w:rsidRPr="00FF34C3" w:rsidRDefault="002864C4" w:rsidP="002864C4">
            <w:pPr>
              <w:spacing w:after="120"/>
              <w:rPr>
                <w:rFonts w:ascii="Arial" w:hAnsi="Arial" w:cs="Arial"/>
                <w:b/>
                <w:sz w:val="18"/>
                <w:szCs w:val="18"/>
              </w:rPr>
            </w:pPr>
          </w:p>
        </w:tc>
        <w:tc>
          <w:tcPr>
            <w:tcW w:w="3402" w:type="dxa"/>
            <w:tcBorders>
              <w:bottom w:val="nil"/>
            </w:tcBorders>
            <w:vAlign w:val="center"/>
          </w:tcPr>
          <w:p w14:paraId="48A0E1A3" w14:textId="77777777" w:rsidR="002864C4" w:rsidRPr="00FF34C3" w:rsidRDefault="002864C4" w:rsidP="002864C4">
            <w:pPr>
              <w:pStyle w:val="2"/>
              <w:tabs>
                <w:tab w:val="left" w:pos="1512"/>
              </w:tabs>
              <w:jc w:val="center"/>
              <w:rPr>
                <w:rFonts w:ascii="Arial" w:hAnsi="Arial" w:cs="Arial"/>
                <w:b/>
                <w:sz w:val="18"/>
                <w:szCs w:val="18"/>
              </w:rPr>
            </w:pPr>
            <w:r w:rsidRPr="00FF34C3">
              <w:rPr>
                <w:rFonts w:ascii="Arial" w:hAnsi="Arial" w:cs="Arial"/>
                <w:b/>
                <w:sz w:val="18"/>
                <w:szCs w:val="18"/>
              </w:rPr>
              <w:t>25.001-30.000</w:t>
            </w:r>
          </w:p>
        </w:tc>
        <w:tc>
          <w:tcPr>
            <w:tcW w:w="1437" w:type="dxa"/>
            <w:tcBorders>
              <w:bottom w:val="nil"/>
            </w:tcBorders>
            <w:vAlign w:val="center"/>
          </w:tcPr>
          <w:p w14:paraId="5EFD028E" w14:textId="77777777" w:rsidR="002864C4" w:rsidRPr="00414219" w:rsidRDefault="002864C4" w:rsidP="002864C4">
            <w:pPr>
              <w:pStyle w:val="2"/>
              <w:jc w:val="center"/>
              <w:rPr>
                <w:rFonts w:ascii="Arial" w:hAnsi="Arial" w:cs="Arial"/>
                <w:b/>
                <w:sz w:val="18"/>
                <w:szCs w:val="18"/>
              </w:rPr>
            </w:pPr>
            <w:r>
              <w:rPr>
                <w:rFonts w:ascii="Arial" w:hAnsi="Arial" w:cs="Arial"/>
                <w:b/>
                <w:sz w:val="18"/>
                <w:szCs w:val="18"/>
              </w:rPr>
              <w:t>€34.200</w:t>
            </w:r>
          </w:p>
        </w:tc>
      </w:tr>
      <w:tr w:rsidR="002864C4" w:rsidRPr="00FF34C3" w14:paraId="4419C3D6" w14:textId="77777777" w:rsidTr="005344DB">
        <w:trPr>
          <w:cantSplit/>
        </w:trPr>
        <w:tc>
          <w:tcPr>
            <w:tcW w:w="3261" w:type="dxa"/>
            <w:tcBorders>
              <w:bottom w:val="nil"/>
            </w:tcBorders>
          </w:tcPr>
          <w:p w14:paraId="656CCC0D" w14:textId="77777777" w:rsidR="002864C4" w:rsidRPr="00FF34C3" w:rsidRDefault="002864C4" w:rsidP="002864C4">
            <w:pPr>
              <w:spacing w:after="120"/>
              <w:rPr>
                <w:rFonts w:ascii="Arial" w:hAnsi="Arial" w:cs="Arial"/>
                <w:b/>
                <w:sz w:val="18"/>
                <w:szCs w:val="18"/>
              </w:rPr>
            </w:pPr>
          </w:p>
        </w:tc>
        <w:tc>
          <w:tcPr>
            <w:tcW w:w="3402" w:type="dxa"/>
            <w:tcBorders>
              <w:bottom w:val="nil"/>
            </w:tcBorders>
            <w:vAlign w:val="center"/>
          </w:tcPr>
          <w:p w14:paraId="19DCFBD2" w14:textId="77777777" w:rsidR="002864C4" w:rsidRPr="00254FF4" w:rsidRDefault="002864C4" w:rsidP="002864C4">
            <w:pPr>
              <w:pStyle w:val="2"/>
              <w:tabs>
                <w:tab w:val="left" w:pos="1512"/>
              </w:tabs>
              <w:jc w:val="center"/>
              <w:rPr>
                <w:rFonts w:ascii="Arial" w:hAnsi="Arial" w:cs="Arial"/>
                <w:b/>
                <w:sz w:val="18"/>
                <w:szCs w:val="18"/>
              </w:rPr>
            </w:pPr>
            <w:r w:rsidRPr="00FF34C3">
              <w:rPr>
                <w:rFonts w:ascii="Arial" w:hAnsi="Arial" w:cs="Arial"/>
                <w:b/>
                <w:sz w:val="18"/>
                <w:szCs w:val="18"/>
              </w:rPr>
              <w:t>&gt;30.001</w:t>
            </w:r>
          </w:p>
        </w:tc>
        <w:tc>
          <w:tcPr>
            <w:tcW w:w="1437" w:type="dxa"/>
            <w:tcBorders>
              <w:bottom w:val="single" w:sz="4" w:space="0" w:color="auto"/>
            </w:tcBorders>
            <w:vAlign w:val="center"/>
          </w:tcPr>
          <w:p w14:paraId="4DB56CBF" w14:textId="77777777" w:rsidR="002864C4" w:rsidRPr="00E54001" w:rsidRDefault="002864C4" w:rsidP="002864C4">
            <w:pPr>
              <w:pStyle w:val="2"/>
              <w:jc w:val="center"/>
              <w:rPr>
                <w:rFonts w:ascii="Arial" w:hAnsi="Arial" w:cs="Arial"/>
                <w:b/>
                <w:sz w:val="18"/>
                <w:szCs w:val="18"/>
              </w:rPr>
            </w:pPr>
            <w:r>
              <w:rPr>
                <w:rFonts w:ascii="Arial" w:hAnsi="Arial" w:cs="Arial"/>
                <w:b/>
                <w:sz w:val="18"/>
                <w:szCs w:val="18"/>
              </w:rPr>
              <w:t>€42.700</w:t>
            </w:r>
          </w:p>
        </w:tc>
      </w:tr>
      <w:tr w:rsidR="00E248EC" w:rsidRPr="00FF34C3" w14:paraId="57904A74" w14:textId="77777777" w:rsidTr="008E30E4">
        <w:trPr>
          <w:cantSplit/>
          <w:trHeight w:val="567"/>
        </w:trPr>
        <w:tc>
          <w:tcPr>
            <w:tcW w:w="3261" w:type="dxa"/>
            <w:tcBorders>
              <w:top w:val="nil"/>
              <w:bottom w:val="nil"/>
            </w:tcBorders>
          </w:tcPr>
          <w:p w14:paraId="2B7ACA86" w14:textId="77777777" w:rsidR="00E248EC" w:rsidRPr="00FF34C3" w:rsidRDefault="00E248EC" w:rsidP="00990F85">
            <w:pPr>
              <w:rPr>
                <w:rFonts w:ascii="Arial" w:hAnsi="Arial" w:cs="Arial"/>
                <w:b/>
                <w:sz w:val="18"/>
                <w:szCs w:val="18"/>
              </w:rPr>
            </w:pPr>
          </w:p>
        </w:tc>
        <w:tc>
          <w:tcPr>
            <w:tcW w:w="4839" w:type="dxa"/>
            <w:gridSpan w:val="2"/>
            <w:tcBorders>
              <w:top w:val="nil"/>
              <w:bottom w:val="nil"/>
            </w:tcBorders>
            <w:vAlign w:val="center"/>
          </w:tcPr>
          <w:p w14:paraId="20B85218" w14:textId="77777777" w:rsidR="00E248EC" w:rsidRPr="00860876" w:rsidRDefault="00E248EC" w:rsidP="008E30E4">
            <w:pPr>
              <w:pStyle w:val="2"/>
              <w:ind w:left="0"/>
              <w:jc w:val="center"/>
              <w:rPr>
                <w:rFonts w:ascii="Arial" w:hAnsi="Arial" w:cs="Arial"/>
                <w:b/>
                <w:sz w:val="18"/>
                <w:szCs w:val="18"/>
              </w:rPr>
            </w:pPr>
          </w:p>
          <w:p w14:paraId="5A322D45" w14:textId="77777777" w:rsidR="00E248EC" w:rsidRPr="00860876" w:rsidRDefault="00E248EC" w:rsidP="008E30E4">
            <w:pPr>
              <w:pStyle w:val="2"/>
              <w:ind w:left="0"/>
              <w:jc w:val="center"/>
              <w:rPr>
                <w:rFonts w:ascii="Arial" w:hAnsi="Arial" w:cs="Arial"/>
                <w:b/>
                <w:sz w:val="18"/>
                <w:szCs w:val="18"/>
              </w:rPr>
            </w:pPr>
            <w:r w:rsidRPr="00860876">
              <w:rPr>
                <w:rFonts w:ascii="Arial" w:hAnsi="Arial" w:cs="Arial"/>
                <w:b/>
                <w:sz w:val="18"/>
                <w:szCs w:val="18"/>
              </w:rPr>
              <w:t>[όσον αφορά τα ΔΑΜ, η χρέωση γίνεται με 50% έκπτωση του δικαιώματος για μετοχές]</w:t>
            </w:r>
          </w:p>
          <w:p w14:paraId="51FFA601" w14:textId="77777777" w:rsidR="00E248EC" w:rsidRPr="00860876" w:rsidRDefault="00E248EC" w:rsidP="008E30E4">
            <w:pPr>
              <w:pStyle w:val="2"/>
              <w:ind w:left="0"/>
              <w:jc w:val="center"/>
              <w:rPr>
                <w:rFonts w:ascii="Arial" w:hAnsi="Arial" w:cs="Arial"/>
                <w:b/>
                <w:sz w:val="18"/>
                <w:szCs w:val="18"/>
              </w:rPr>
            </w:pPr>
          </w:p>
        </w:tc>
      </w:tr>
    </w:tbl>
    <w:p w14:paraId="55853907" w14:textId="77777777" w:rsidR="00E248EC" w:rsidRPr="00860876" w:rsidRDefault="00E248EC" w:rsidP="001A6976">
      <w:pPr>
        <w:jc w:val="center"/>
        <w:rPr>
          <w:rFonts w:ascii="Arial" w:hAnsi="Arial" w:cs="Arial"/>
        </w:rPr>
      </w:pPr>
    </w:p>
    <w:p w14:paraId="72E9A92A" w14:textId="77777777" w:rsidR="00E248EC" w:rsidRPr="00860876" w:rsidRDefault="00E248EC" w:rsidP="00964106">
      <w:pPr>
        <w:jc w:val="both"/>
        <w:rPr>
          <w:rFonts w:ascii="Arial" w:hAnsi="Arial" w:cs="Arial"/>
          <w:b/>
          <w:sz w:val="18"/>
          <w:szCs w:val="18"/>
          <w:u w:val="single"/>
        </w:rPr>
      </w:pPr>
      <w:r w:rsidRPr="00860876">
        <w:rPr>
          <w:rFonts w:ascii="Arial" w:hAnsi="Arial" w:cs="Arial"/>
          <w:b/>
          <w:sz w:val="18"/>
          <w:szCs w:val="18"/>
          <w:u w:val="single"/>
        </w:rPr>
        <w:t>ΕΤΗΣΙΑ ΧΡΕΩΣΗ ΕΚΔΟΤΩΝ ΓΙΑ ΤΗΡΗΣΗ ΜΗΤΡΩΟΥ</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5075"/>
      </w:tblGrid>
      <w:tr w:rsidR="00E248EC" w:rsidRPr="00FF34C3" w14:paraId="08F89FFA" w14:textId="77777777" w:rsidTr="002130A7">
        <w:trPr>
          <w:cantSplit/>
        </w:trPr>
        <w:tc>
          <w:tcPr>
            <w:tcW w:w="3025" w:type="dxa"/>
          </w:tcPr>
          <w:p w14:paraId="090BB87B" w14:textId="77777777" w:rsidR="00963754" w:rsidRDefault="00E248EC" w:rsidP="00964106">
            <w:pPr>
              <w:spacing w:after="120"/>
              <w:jc w:val="both"/>
              <w:rPr>
                <w:rFonts w:ascii="Arial" w:hAnsi="Arial" w:cs="Arial"/>
                <w:b/>
                <w:bCs/>
                <w:sz w:val="18"/>
                <w:szCs w:val="18"/>
              </w:rPr>
            </w:pPr>
            <w:r w:rsidRPr="00FF34C3">
              <w:rPr>
                <w:rFonts w:ascii="Arial" w:hAnsi="Arial" w:cs="Arial"/>
                <w:b/>
                <w:bCs/>
                <w:sz w:val="18"/>
                <w:szCs w:val="18"/>
              </w:rPr>
              <w:t xml:space="preserve"> </w:t>
            </w:r>
          </w:p>
          <w:p w14:paraId="21B102DA" w14:textId="77777777" w:rsidR="00E248EC" w:rsidRPr="00FF34C3" w:rsidRDefault="00E248EC" w:rsidP="00964106">
            <w:pPr>
              <w:spacing w:after="120"/>
              <w:jc w:val="both"/>
              <w:rPr>
                <w:rFonts w:ascii="Arial" w:hAnsi="Arial" w:cs="Arial"/>
                <w:b/>
                <w:bCs/>
                <w:sz w:val="18"/>
                <w:szCs w:val="18"/>
              </w:rPr>
            </w:pPr>
            <w:r w:rsidRPr="00FF34C3">
              <w:rPr>
                <w:rFonts w:ascii="Arial" w:hAnsi="Arial" w:cs="Arial"/>
                <w:b/>
                <w:sz w:val="18"/>
                <w:szCs w:val="18"/>
              </w:rPr>
              <w:t xml:space="preserve">Χρέωση ανά συναλλαγή για τήρηση μητρώου μετοχών, ΔΑΜ, χρεογράφων και Παραστατικών Πληρωμών </w:t>
            </w:r>
          </w:p>
        </w:tc>
        <w:tc>
          <w:tcPr>
            <w:tcW w:w="5075" w:type="dxa"/>
          </w:tcPr>
          <w:p w14:paraId="1EC73991" w14:textId="77777777" w:rsidR="00963754" w:rsidRDefault="00963754" w:rsidP="00990F85">
            <w:pPr>
              <w:ind w:left="33"/>
              <w:jc w:val="both"/>
              <w:rPr>
                <w:rFonts w:ascii="Arial" w:hAnsi="Arial" w:cs="Arial"/>
                <w:b/>
                <w:sz w:val="18"/>
                <w:szCs w:val="18"/>
              </w:rPr>
            </w:pPr>
          </w:p>
          <w:p w14:paraId="5BF83761" w14:textId="77777777" w:rsidR="00E248EC" w:rsidRPr="00FF34C3" w:rsidRDefault="00E248EC" w:rsidP="00990F85">
            <w:pPr>
              <w:ind w:left="33"/>
              <w:jc w:val="both"/>
              <w:rPr>
                <w:rFonts w:ascii="Arial" w:hAnsi="Arial" w:cs="Arial"/>
                <w:b/>
                <w:sz w:val="18"/>
                <w:szCs w:val="18"/>
              </w:rPr>
            </w:pPr>
            <w:r w:rsidRPr="00FF34C3">
              <w:rPr>
                <w:rFonts w:ascii="Arial" w:hAnsi="Arial" w:cs="Arial"/>
                <w:b/>
                <w:sz w:val="18"/>
                <w:szCs w:val="18"/>
              </w:rPr>
              <w:t xml:space="preserve"> </w:t>
            </w:r>
            <w:r w:rsidRPr="00FF34C3">
              <w:rPr>
                <w:rFonts w:ascii="Arial" w:hAnsi="Arial" w:cs="Arial"/>
                <w:b/>
                <w:sz w:val="18"/>
                <w:szCs w:val="18"/>
                <w:lang w:val="en-US"/>
              </w:rPr>
              <w:t>M</w:t>
            </w:r>
            <w:r w:rsidRPr="00FF34C3">
              <w:rPr>
                <w:rFonts w:ascii="Arial" w:hAnsi="Arial" w:cs="Arial"/>
                <w:b/>
                <w:sz w:val="18"/>
                <w:szCs w:val="18"/>
              </w:rPr>
              <w:t>ετοχές: €0,17 σεντς ανά εγγραφή / συναλλαγή</w:t>
            </w:r>
          </w:p>
          <w:p w14:paraId="5C717DEC" w14:textId="77777777" w:rsidR="00E248EC" w:rsidRPr="00FF34C3" w:rsidRDefault="00E248EC" w:rsidP="00963754">
            <w:pPr>
              <w:ind w:left="33"/>
              <w:jc w:val="both"/>
              <w:rPr>
                <w:rFonts w:ascii="Arial" w:hAnsi="Arial" w:cs="Arial"/>
                <w:b/>
                <w:bCs/>
                <w:sz w:val="18"/>
                <w:szCs w:val="18"/>
              </w:rPr>
            </w:pPr>
          </w:p>
        </w:tc>
      </w:tr>
    </w:tbl>
    <w:p w14:paraId="451DFA1C" w14:textId="77777777" w:rsidR="00E248EC" w:rsidRDefault="00E248EC" w:rsidP="001A6976">
      <w:pPr>
        <w:jc w:val="center"/>
      </w:pPr>
    </w:p>
    <w:p w14:paraId="2A10D82B" w14:textId="77777777" w:rsidR="00E248EC" w:rsidRDefault="00E248EC" w:rsidP="001A6976">
      <w:pPr>
        <w:jc w:val="center"/>
      </w:pPr>
    </w:p>
    <w:p w14:paraId="6341B4D9" w14:textId="77777777" w:rsidR="00E248EC" w:rsidRPr="008E30E4" w:rsidRDefault="00E248EC" w:rsidP="002130A7">
      <w:pPr>
        <w:rPr>
          <w:b/>
        </w:rPr>
      </w:pPr>
      <w:r w:rsidRPr="008E30E4">
        <w:rPr>
          <w:b/>
        </w:rPr>
        <w:t>Για οποιεσδήποτε περαιτέρω πληροφορίες, παρακαλώ αποτείνεστε στον ακόλουθο σύνδεσμο:</w:t>
      </w:r>
    </w:p>
    <w:p w14:paraId="6AC3D0C1" w14:textId="77777777" w:rsidR="00E248EC" w:rsidRDefault="00343B0D" w:rsidP="002130A7">
      <w:pPr>
        <w:rPr>
          <w:b/>
        </w:rPr>
      </w:pPr>
      <w:hyperlink r:id="rId5" w:history="1">
        <w:r w:rsidR="00E248EC" w:rsidRPr="008E30E4">
          <w:rPr>
            <w:rStyle w:val="-"/>
            <w:b/>
          </w:rPr>
          <w:t>http://www.cse.com.cy/el-GR/legal-framework/current-legislation/basic-law/</w:t>
        </w:r>
      </w:hyperlink>
      <w:r w:rsidR="00E248EC">
        <w:rPr>
          <w:b/>
        </w:rPr>
        <w:t xml:space="preserve"> </w:t>
      </w:r>
    </w:p>
    <w:p w14:paraId="752C79D7" w14:textId="77777777" w:rsidR="00E248EC" w:rsidRPr="008E30E4" w:rsidRDefault="00E248EC" w:rsidP="002130A7">
      <w:pPr>
        <w:rPr>
          <w:b/>
        </w:rPr>
      </w:pPr>
      <w:r>
        <w:rPr>
          <w:b/>
        </w:rPr>
        <w:t>ΠΑΡΑΡΤΗΜΑ 17 – ΤΕΛΗ ΚΑΙ ΔΙΚΑΙΩΜΑΤΑ.</w:t>
      </w:r>
    </w:p>
    <w:p w14:paraId="464B255E" w14:textId="77777777" w:rsidR="00E248EC" w:rsidRDefault="00E248EC" w:rsidP="002130A7"/>
    <w:p w14:paraId="4BE54F27" w14:textId="77777777" w:rsidR="00E248EC" w:rsidRPr="00860876" w:rsidRDefault="00E248EC">
      <w:pPr>
        <w:rPr>
          <w:rFonts w:ascii="Arial" w:hAnsi="Arial" w:cs="Arial"/>
          <w:b/>
          <w:sz w:val="32"/>
          <w:szCs w:val="32"/>
          <w:u w:val="single"/>
        </w:rPr>
      </w:pPr>
    </w:p>
    <w:sectPr w:rsidR="00E248EC" w:rsidRPr="00860876" w:rsidSect="00C827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5584D"/>
    <w:multiLevelType w:val="multilevel"/>
    <w:tmpl w:val="9754F1F0"/>
    <w:lvl w:ilvl="0">
      <w:start w:val="1"/>
      <w:numFmt w:val="decimal"/>
      <w:lvlText w:val="%1."/>
      <w:lvlJc w:val="left"/>
      <w:pPr>
        <w:ind w:left="720" w:hanging="360"/>
      </w:pPr>
      <w:rPr>
        <w:rFonts w:cs="Times New Roman" w:hint="default"/>
      </w:rPr>
    </w:lvl>
    <w:lvl w:ilvl="1">
      <w:start w:val="1"/>
      <w:numFmt w:val="decimal"/>
      <w:isLgl/>
      <w:lvlText w:val="%1.%2"/>
      <w:lvlJc w:val="left"/>
      <w:pPr>
        <w:ind w:left="1035" w:hanging="6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976"/>
    <w:rsid w:val="00166940"/>
    <w:rsid w:val="001A6976"/>
    <w:rsid w:val="002130A7"/>
    <w:rsid w:val="00254FF4"/>
    <w:rsid w:val="002864C4"/>
    <w:rsid w:val="002945F9"/>
    <w:rsid w:val="002D7061"/>
    <w:rsid w:val="00343B0D"/>
    <w:rsid w:val="005A5582"/>
    <w:rsid w:val="00657E7F"/>
    <w:rsid w:val="006A60E2"/>
    <w:rsid w:val="00714B9C"/>
    <w:rsid w:val="00860876"/>
    <w:rsid w:val="008E30E4"/>
    <w:rsid w:val="00920678"/>
    <w:rsid w:val="00963754"/>
    <w:rsid w:val="00964106"/>
    <w:rsid w:val="00990F85"/>
    <w:rsid w:val="00AE1569"/>
    <w:rsid w:val="00B4320C"/>
    <w:rsid w:val="00B62BB6"/>
    <w:rsid w:val="00C82707"/>
    <w:rsid w:val="00D2483C"/>
    <w:rsid w:val="00D701CE"/>
    <w:rsid w:val="00E248EC"/>
    <w:rsid w:val="00E95B53"/>
    <w:rsid w:val="00FB51DF"/>
    <w:rsid w:val="00FC46CE"/>
    <w:rsid w:val="00FF34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D50A8B"/>
  <w15:docId w15:val="{C70298BB-EC12-4D98-8C5D-A20A8731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707"/>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206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Char"/>
    <w:uiPriority w:val="99"/>
    <w:rsid w:val="00964106"/>
    <w:pPr>
      <w:spacing w:after="0" w:line="240" w:lineRule="auto"/>
      <w:ind w:left="34"/>
      <w:jc w:val="both"/>
    </w:pPr>
    <w:rPr>
      <w:rFonts w:ascii="Times New Roman" w:eastAsia="Times New Roman" w:hAnsi="Times New Roman"/>
      <w:sz w:val="24"/>
      <w:szCs w:val="20"/>
    </w:rPr>
  </w:style>
  <w:style w:type="character" w:customStyle="1" w:styleId="2Char">
    <w:name w:val="Σώμα κείμενου με εσοχή 2 Char"/>
    <w:basedOn w:val="a0"/>
    <w:link w:val="2"/>
    <w:uiPriority w:val="99"/>
    <w:locked/>
    <w:rsid w:val="00964106"/>
    <w:rPr>
      <w:rFonts w:ascii="Times New Roman" w:hAnsi="Times New Roman" w:cs="Times New Roman"/>
      <w:sz w:val="20"/>
      <w:szCs w:val="20"/>
    </w:rPr>
  </w:style>
  <w:style w:type="character" w:styleId="-">
    <w:name w:val="Hyperlink"/>
    <w:basedOn w:val="a0"/>
    <w:uiPriority w:val="99"/>
    <w:semiHidden/>
    <w:rsid w:val="008E30E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e.com.cy/el-GR/legal-framework/current-legislation/basic-l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3849</Characters>
  <Application>Microsoft Office Word</Application>
  <DocSecurity>0</DocSecurity>
  <Lines>32</Lines>
  <Paragraphs>9</Paragraphs>
  <ScaleCrop>false</ScaleCrop>
  <Company>Hewlett-Packard Company</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 Philippides</dc:creator>
  <cp:keywords/>
  <dc:description/>
  <cp:lastModifiedBy>MARGARIS FAMILY</cp:lastModifiedBy>
  <cp:revision>2</cp:revision>
  <dcterms:created xsi:type="dcterms:W3CDTF">2021-09-30T09:43:00Z</dcterms:created>
  <dcterms:modified xsi:type="dcterms:W3CDTF">2021-09-30T09:43:00Z</dcterms:modified>
</cp:coreProperties>
</file>