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16" w:rsidRDefault="00581716" w:rsidP="00581716">
      <w:pPr>
        <w:jc w:val="center"/>
        <w:rPr>
          <w:rFonts w:ascii="Arial" w:hAnsi="Arial" w:cs="Arial"/>
          <w:sz w:val="18"/>
          <w:szCs w:val="18"/>
          <w:lang w:val="en-US"/>
        </w:rPr>
      </w:pPr>
    </w:p>
    <w:p w:rsidR="00581716" w:rsidRDefault="00581716" w:rsidP="00581716">
      <w:pPr>
        <w:jc w:val="center"/>
        <w:rPr>
          <w:rFonts w:ascii="Arial" w:hAnsi="Arial" w:cs="Arial"/>
          <w:sz w:val="18"/>
          <w:szCs w:val="18"/>
          <w:lang w:val="el-GR"/>
        </w:rPr>
      </w:pPr>
      <w:r>
        <w:rPr>
          <w:rFonts w:ascii="Arial" w:hAnsi="Arial" w:cs="Arial"/>
          <w:sz w:val="18"/>
          <w:szCs w:val="18"/>
          <w:lang w:val="el-GR"/>
        </w:rPr>
        <w:t>ΟΙ ΠΕΡΙ ΑΞΙΩΝ ΚΑΙ ΧΡΗΜΑΤΙΣΤΗΡΙΟΥ ΑΞΙΩΝ ΚΥΠΡΟΥ</w:t>
      </w:r>
    </w:p>
    <w:p w:rsidR="00581716" w:rsidRDefault="00581716" w:rsidP="00581716">
      <w:pPr>
        <w:rPr>
          <w:rFonts w:ascii="Arial" w:hAnsi="Arial" w:cs="Arial"/>
          <w:sz w:val="18"/>
          <w:szCs w:val="18"/>
          <w:lang w:val="el-GR"/>
        </w:rPr>
      </w:pPr>
    </w:p>
    <w:p w:rsidR="00581716" w:rsidRDefault="00581716" w:rsidP="00581716">
      <w:pPr>
        <w:jc w:val="center"/>
        <w:rPr>
          <w:rFonts w:ascii="Arial" w:hAnsi="Arial" w:cs="Arial"/>
          <w:sz w:val="18"/>
          <w:szCs w:val="18"/>
          <w:lang w:val="el-GR"/>
        </w:rPr>
      </w:pPr>
      <w:r>
        <w:rPr>
          <w:rFonts w:ascii="Arial" w:hAnsi="Arial" w:cs="Arial"/>
          <w:sz w:val="18"/>
          <w:szCs w:val="18"/>
          <w:lang w:val="el-GR"/>
        </w:rPr>
        <w:t>ΝΟΜΟΙ</w:t>
      </w:r>
    </w:p>
    <w:p w:rsidR="00581716" w:rsidRDefault="00581716" w:rsidP="00581716">
      <w:pPr>
        <w:jc w:val="center"/>
        <w:rPr>
          <w:rFonts w:ascii="Arial" w:hAnsi="Arial" w:cs="Arial"/>
          <w:sz w:val="18"/>
          <w:szCs w:val="18"/>
          <w:lang w:val="el-GR"/>
        </w:rPr>
      </w:pPr>
      <w:r>
        <w:rPr>
          <w:rFonts w:ascii="Arial" w:hAnsi="Arial" w:cs="Arial"/>
          <w:sz w:val="18"/>
          <w:szCs w:val="18"/>
          <w:lang w:val="el-GR"/>
        </w:rPr>
        <w:t>του 1993 έως 2017</w:t>
      </w:r>
    </w:p>
    <w:p w:rsidR="00581716" w:rsidRDefault="00581716" w:rsidP="00581716">
      <w:pPr>
        <w:jc w:val="center"/>
        <w:rPr>
          <w:rFonts w:ascii="Arial" w:hAnsi="Arial" w:cs="Arial"/>
          <w:sz w:val="18"/>
          <w:szCs w:val="18"/>
          <w:lang w:val="el-GR"/>
        </w:rPr>
      </w:pPr>
      <w:r>
        <w:rPr>
          <w:rFonts w:ascii="Arial" w:hAnsi="Arial" w:cs="Arial"/>
          <w:sz w:val="18"/>
          <w:szCs w:val="18"/>
          <w:lang w:val="el-GR"/>
        </w:rPr>
        <w:t>---------------------------------</w:t>
      </w:r>
    </w:p>
    <w:p w:rsidR="00581716" w:rsidRDefault="00581716" w:rsidP="00581716">
      <w:pPr>
        <w:jc w:val="center"/>
        <w:rPr>
          <w:rFonts w:ascii="Arial" w:hAnsi="Arial" w:cs="Arial"/>
          <w:sz w:val="18"/>
          <w:szCs w:val="18"/>
          <w:lang w:val="el-GR"/>
        </w:rPr>
      </w:pPr>
      <w:r>
        <w:rPr>
          <w:rFonts w:ascii="Arial" w:hAnsi="Arial" w:cs="Arial"/>
          <w:sz w:val="18"/>
          <w:szCs w:val="18"/>
          <w:lang w:val="el-GR"/>
        </w:rPr>
        <w:t xml:space="preserve">ΤΡΟΠΟΠΟΙΗΣΗ ΤΩΝ ΚΑΝΟΝΩΝ ΣΥΝΑΛΛΑΓΩΝ </w:t>
      </w:r>
    </w:p>
    <w:p w:rsidR="00581716" w:rsidRDefault="00581716" w:rsidP="00581716">
      <w:pPr>
        <w:rPr>
          <w:rFonts w:ascii="Arial" w:hAnsi="Arial" w:cs="Arial"/>
          <w:sz w:val="18"/>
          <w:szCs w:val="18"/>
          <w:lang w:val="el-GR"/>
        </w:rPr>
      </w:pPr>
    </w:p>
    <w:tbl>
      <w:tblPr>
        <w:tblW w:w="9180" w:type="dxa"/>
        <w:tblInd w:w="-72" w:type="dxa"/>
        <w:tblLayout w:type="fixed"/>
        <w:tblLook w:val="01E0" w:firstRow="1" w:lastRow="1" w:firstColumn="1" w:lastColumn="1" w:noHBand="0" w:noVBand="0"/>
      </w:tblPr>
      <w:tblGrid>
        <w:gridCol w:w="1428"/>
        <w:gridCol w:w="7752"/>
      </w:tblGrid>
      <w:tr w:rsidR="00581716" w:rsidRPr="009C50D5" w:rsidTr="009F2057">
        <w:tc>
          <w:tcPr>
            <w:tcW w:w="1428" w:type="dxa"/>
            <w:hideMark/>
          </w:tcPr>
          <w:p w:rsidR="00581716" w:rsidRDefault="00581716">
            <w:pPr>
              <w:pStyle w:val="BodyText2"/>
              <w:rPr>
                <w:rFonts w:ascii="Arial" w:hAnsi="Arial" w:cs="Arial"/>
                <w:bCs/>
                <w:sz w:val="18"/>
                <w:szCs w:val="18"/>
                <w:lang w:eastAsia="el-GR"/>
              </w:rPr>
            </w:pPr>
            <w:r>
              <w:rPr>
                <w:rFonts w:ascii="Arial" w:hAnsi="Arial" w:cs="Arial"/>
                <w:bCs/>
                <w:sz w:val="18"/>
                <w:szCs w:val="18"/>
                <w:lang w:eastAsia="el-GR"/>
              </w:rPr>
              <w:t xml:space="preserve">Επίσημη Εφημερίδα </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Παράρτημα Τρίτο (Ι)</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27.10.06</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1.6.07</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27.12.07</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21.03.08</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23.05.08</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6.06.08</w:t>
            </w:r>
          </w:p>
          <w:p w:rsidR="00581716" w:rsidRDefault="00581716">
            <w:pPr>
              <w:pStyle w:val="BodyText2"/>
              <w:rPr>
                <w:rFonts w:ascii="Arial" w:hAnsi="Arial" w:cs="Arial"/>
                <w:bCs/>
                <w:sz w:val="18"/>
                <w:szCs w:val="18"/>
                <w:lang w:eastAsia="el-GR"/>
              </w:rPr>
            </w:pPr>
            <w:r>
              <w:rPr>
                <w:rFonts w:ascii="Arial" w:hAnsi="Arial" w:cs="Arial"/>
                <w:bCs/>
                <w:sz w:val="18"/>
                <w:szCs w:val="18"/>
                <w:lang w:val="en-GB" w:eastAsia="el-GR"/>
              </w:rPr>
              <w:t>29.09.08</w:t>
            </w:r>
          </w:p>
          <w:p w:rsidR="00581716" w:rsidRDefault="00581716">
            <w:pPr>
              <w:pStyle w:val="BodyText2"/>
              <w:rPr>
                <w:rFonts w:ascii="Arial" w:hAnsi="Arial" w:cs="Arial"/>
                <w:bCs/>
                <w:sz w:val="18"/>
                <w:szCs w:val="18"/>
                <w:lang w:val="en-US" w:eastAsia="el-GR"/>
              </w:rPr>
            </w:pPr>
            <w:r>
              <w:rPr>
                <w:rFonts w:ascii="Arial" w:hAnsi="Arial" w:cs="Arial"/>
                <w:bCs/>
                <w:sz w:val="18"/>
                <w:szCs w:val="18"/>
                <w:lang w:eastAsia="el-GR"/>
              </w:rPr>
              <w:t>31.10.08</w:t>
            </w:r>
          </w:p>
          <w:p w:rsidR="00581716" w:rsidRDefault="00581716">
            <w:pPr>
              <w:pStyle w:val="BodyText2"/>
              <w:rPr>
                <w:rFonts w:ascii="Arial" w:hAnsi="Arial" w:cs="Arial"/>
                <w:bCs/>
                <w:sz w:val="18"/>
                <w:szCs w:val="18"/>
                <w:lang w:eastAsia="el-GR"/>
              </w:rPr>
            </w:pPr>
            <w:r>
              <w:rPr>
                <w:rFonts w:ascii="Arial" w:hAnsi="Arial" w:cs="Arial"/>
                <w:bCs/>
                <w:sz w:val="18"/>
                <w:szCs w:val="18"/>
                <w:lang w:val="en-US" w:eastAsia="el-GR"/>
              </w:rPr>
              <w:t>31.12.08</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30.1.09</w:t>
            </w:r>
          </w:p>
          <w:p w:rsidR="00581716" w:rsidRDefault="00581716">
            <w:pPr>
              <w:pStyle w:val="BodyText2"/>
              <w:rPr>
                <w:rFonts w:ascii="Arial" w:hAnsi="Arial" w:cs="Arial"/>
                <w:bCs/>
                <w:sz w:val="18"/>
                <w:szCs w:val="18"/>
                <w:lang w:val="en-GB" w:eastAsia="el-GR"/>
              </w:rPr>
            </w:pPr>
            <w:r>
              <w:rPr>
                <w:rFonts w:ascii="Arial" w:hAnsi="Arial" w:cs="Arial"/>
                <w:bCs/>
                <w:sz w:val="18"/>
                <w:szCs w:val="18"/>
                <w:lang w:eastAsia="el-GR"/>
              </w:rPr>
              <w:t>27.2.09</w:t>
            </w:r>
          </w:p>
          <w:p w:rsidR="00581716" w:rsidRDefault="00581716">
            <w:pPr>
              <w:pStyle w:val="BodyText2"/>
              <w:rPr>
                <w:rFonts w:ascii="Arial" w:hAnsi="Arial" w:cs="Arial"/>
                <w:bCs/>
                <w:sz w:val="18"/>
                <w:szCs w:val="18"/>
                <w:lang w:val="en-GB" w:eastAsia="el-GR"/>
              </w:rPr>
            </w:pPr>
            <w:r>
              <w:rPr>
                <w:rFonts w:ascii="Arial" w:hAnsi="Arial" w:cs="Arial"/>
                <w:bCs/>
                <w:sz w:val="18"/>
                <w:szCs w:val="18"/>
                <w:lang w:val="en-GB" w:eastAsia="el-GR"/>
              </w:rPr>
              <w:t>16.4.09</w:t>
            </w:r>
          </w:p>
          <w:p w:rsidR="00581716" w:rsidRDefault="00581716">
            <w:pPr>
              <w:pStyle w:val="BodyText2"/>
              <w:rPr>
                <w:rFonts w:ascii="Arial" w:hAnsi="Arial" w:cs="Arial"/>
                <w:bCs/>
                <w:sz w:val="18"/>
                <w:szCs w:val="18"/>
                <w:lang w:val="en-GB" w:eastAsia="el-GR"/>
              </w:rPr>
            </w:pPr>
            <w:r>
              <w:rPr>
                <w:rFonts w:ascii="Arial" w:hAnsi="Arial" w:cs="Arial"/>
                <w:bCs/>
                <w:sz w:val="18"/>
                <w:szCs w:val="18"/>
                <w:lang w:val="en-GB" w:eastAsia="el-GR"/>
              </w:rPr>
              <w:t>12.6.09</w:t>
            </w:r>
          </w:p>
          <w:p w:rsidR="00581716" w:rsidRDefault="00581716">
            <w:pPr>
              <w:pStyle w:val="BodyText2"/>
              <w:rPr>
                <w:rFonts w:ascii="Arial" w:hAnsi="Arial" w:cs="Arial"/>
                <w:bCs/>
                <w:sz w:val="18"/>
                <w:szCs w:val="18"/>
                <w:lang w:val="en-GB" w:eastAsia="el-GR"/>
              </w:rPr>
            </w:pPr>
            <w:r>
              <w:rPr>
                <w:rFonts w:ascii="Arial" w:hAnsi="Arial" w:cs="Arial"/>
                <w:bCs/>
                <w:sz w:val="18"/>
                <w:szCs w:val="18"/>
                <w:lang w:val="en-GB" w:eastAsia="el-GR"/>
              </w:rPr>
              <w:t>9.10.09</w:t>
            </w:r>
          </w:p>
          <w:p w:rsidR="00581716" w:rsidRDefault="00581716">
            <w:pPr>
              <w:pStyle w:val="BodyText2"/>
              <w:rPr>
                <w:rFonts w:ascii="Arial" w:hAnsi="Arial" w:cs="Arial"/>
                <w:bCs/>
                <w:sz w:val="18"/>
                <w:szCs w:val="18"/>
                <w:lang w:val="en-GB" w:eastAsia="el-GR"/>
              </w:rPr>
            </w:pPr>
            <w:r>
              <w:rPr>
                <w:rFonts w:ascii="Arial" w:hAnsi="Arial" w:cs="Arial"/>
                <w:bCs/>
                <w:sz w:val="18"/>
                <w:szCs w:val="18"/>
                <w:lang w:val="en-GB" w:eastAsia="el-GR"/>
              </w:rPr>
              <w:t>13.11.09</w:t>
            </w:r>
          </w:p>
          <w:p w:rsidR="00581716" w:rsidRDefault="00581716">
            <w:pPr>
              <w:pStyle w:val="BodyText2"/>
              <w:rPr>
                <w:rFonts w:ascii="Arial" w:hAnsi="Arial" w:cs="Arial"/>
                <w:bCs/>
                <w:sz w:val="18"/>
                <w:szCs w:val="18"/>
                <w:lang w:val="en-GB" w:eastAsia="el-GR"/>
              </w:rPr>
            </w:pPr>
            <w:r>
              <w:rPr>
                <w:rFonts w:ascii="Arial" w:hAnsi="Arial" w:cs="Arial"/>
                <w:bCs/>
                <w:sz w:val="18"/>
                <w:szCs w:val="18"/>
                <w:lang w:val="en-GB" w:eastAsia="el-GR"/>
              </w:rPr>
              <w:t>3.06.11</w:t>
            </w:r>
          </w:p>
          <w:p w:rsidR="00581716" w:rsidRDefault="00581716">
            <w:pPr>
              <w:pStyle w:val="BodyText2"/>
              <w:rPr>
                <w:rFonts w:ascii="Arial" w:hAnsi="Arial" w:cs="Arial"/>
                <w:bCs/>
                <w:sz w:val="18"/>
                <w:szCs w:val="18"/>
                <w:lang w:eastAsia="el-GR"/>
              </w:rPr>
            </w:pPr>
            <w:r>
              <w:rPr>
                <w:rFonts w:ascii="Arial" w:hAnsi="Arial" w:cs="Arial"/>
                <w:bCs/>
                <w:sz w:val="18"/>
                <w:szCs w:val="18"/>
                <w:lang w:val="en-GB" w:eastAsia="el-GR"/>
              </w:rPr>
              <w:t>7.10.11</w:t>
            </w:r>
          </w:p>
          <w:p w:rsidR="00581716" w:rsidRDefault="00581716">
            <w:pPr>
              <w:pStyle w:val="BodyText2"/>
              <w:rPr>
                <w:rFonts w:ascii="Arial" w:hAnsi="Arial" w:cs="Arial"/>
                <w:bCs/>
                <w:sz w:val="18"/>
                <w:szCs w:val="18"/>
                <w:lang w:val="en-US" w:eastAsia="el-GR"/>
              </w:rPr>
            </w:pPr>
            <w:r>
              <w:rPr>
                <w:rFonts w:ascii="Arial" w:hAnsi="Arial" w:cs="Arial"/>
                <w:bCs/>
                <w:sz w:val="18"/>
                <w:szCs w:val="18"/>
                <w:lang w:eastAsia="el-GR"/>
              </w:rPr>
              <w:t>17.2.12</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18.5.12</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25.5.12</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28.9.12</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6.12.13</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3.10.14</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28.11.14</w:t>
            </w:r>
          </w:p>
          <w:p w:rsidR="00581716" w:rsidRDefault="00581716">
            <w:pPr>
              <w:pStyle w:val="BodyText2"/>
              <w:rPr>
                <w:rFonts w:ascii="Arial" w:hAnsi="Arial" w:cs="Arial"/>
                <w:bCs/>
                <w:sz w:val="18"/>
                <w:szCs w:val="18"/>
                <w:lang w:eastAsia="el-GR"/>
              </w:rPr>
            </w:pPr>
            <w:r>
              <w:rPr>
                <w:rFonts w:ascii="Arial" w:hAnsi="Arial" w:cs="Arial"/>
                <w:bCs/>
                <w:sz w:val="18"/>
                <w:szCs w:val="18"/>
                <w:lang w:val="en-US" w:eastAsia="el-GR"/>
              </w:rPr>
              <w:t>16.1.15</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9.4.15</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18.9.15</w:t>
            </w:r>
          </w:p>
          <w:p w:rsidR="00581716" w:rsidRDefault="00581716">
            <w:pPr>
              <w:pStyle w:val="BodyText2"/>
              <w:rPr>
                <w:rFonts w:ascii="Arial" w:hAnsi="Arial" w:cs="Arial"/>
                <w:bCs/>
                <w:sz w:val="18"/>
                <w:szCs w:val="18"/>
                <w:lang w:eastAsia="el-GR"/>
              </w:rPr>
            </w:pPr>
            <w:r>
              <w:rPr>
                <w:rFonts w:ascii="Arial" w:hAnsi="Arial" w:cs="Arial"/>
                <w:bCs/>
                <w:sz w:val="18"/>
                <w:szCs w:val="18"/>
                <w:lang w:eastAsia="el-GR"/>
              </w:rPr>
              <w:t>5.1.17</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26.5.17</w:t>
            </w:r>
          </w:p>
          <w:p w:rsidR="00581716" w:rsidRDefault="00581716">
            <w:pPr>
              <w:pStyle w:val="BodyText2"/>
              <w:rPr>
                <w:rFonts w:ascii="Arial" w:hAnsi="Arial" w:cs="Arial"/>
                <w:bCs/>
                <w:sz w:val="18"/>
                <w:szCs w:val="18"/>
                <w:lang w:val="en-US" w:eastAsia="el-GR"/>
              </w:rPr>
            </w:pPr>
            <w:r>
              <w:rPr>
                <w:rFonts w:ascii="Arial" w:hAnsi="Arial" w:cs="Arial"/>
                <w:bCs/>
                <w:sz w:val="18"/>
                <w:szCs w:val="18"/>
                <w:lang w:val="en-US" w:eastAsia="el-GR"/>
              </w:rPr>
              <w:t>22.12.17</w:t>
            </w:r>
          </w:p>
        </w:tc>
        <w:tc>
          <w:tcPr>
            <w:tcW w:w="7752" w:type="dxa"/>
          </w:tcPr>
          <w:p w:rsidR="00581716" w:rsidRDefault="00581716">
            <w:pPr>
              <w:pStyle w:val="BodyText2"/>
              <w:rPr>
                <w:rFonts w:ascii="Arial" w:hAnsi="Arial" w:cs="Arial"/>
                <w:bCs/>
                <w:sz w:val="18"/>
                <w:szCs w:val="18"/>
                <w:lang w:eastAsia="el-GR"/>
              </w:rPr>
            </w:pPr>
            <w:r>
              <w:rPr>
                <w:rFonts w:ascii="Arial" w:hAnsi="Arial" w:cs="Arial"/>
                <w:bCs/>
                <w:sz w:val="18"/>
                <w:szCs w:val="18"/>
                <w:lang w:eastAsia="el-GR"/>
              </w:rPr>
              <w:t xml:space="preserve">Το Συμβούλιο του Χρηματιστηρίου Αξιών Κύπρου, </w:t>
            </w:r>
            <w:r w:rsidRPr="000339D2">
              <w:rPr>
                <w:rFonts w:ascii="Arial" w:hAnsi="Arial" w:cs="Arial"/>
                <w:bCs/>
                <w:sz w:val="18"/>
                <w:szCs w:val="18"/>
                <w:lang w:eastAsia="el-GR"/>
              </w:rPr>
              <w:t>μετά από προηγούμενη σύμφωνη γνώμη της Επιτροπής Κεφαλαιαγοράς,</w:t>
            </w:r>
            <w:r>
              <w:rPr>
                <w:rFonts w:ascii="Arial" w:hAnsi="Arial" w:cs="Arial"/>
                <w:bCs/>
                <w:sz w:val="18"/>
                <w:szCs w:val="18"/>
                <w:lang w:eastAsia="el-GR"/>
              </w:rPr>
              <w:t xml:space="preserve"> αποφάσισε να τροποποιήσει τους Κανόνες Συναλλαγών που δημοσιεύτηκαν στην Επίσημη Εφημερίδα της Δημοκρατίας στις 27 Οκτωβρίου 2006 (ΚΔΠ 409/2006 ως έχουν τροποποιηθεί), σύμφωνα με την εξουσία που του παρέχει το άρθρο 22 των περί Αξιών και Χρηματιστηρίου Αξιών Κύπρου Νόμων και ο Κανονισμός 33 των περί Αξιών και Χρηματιστηρίου Αξιών Κύπρου Κανονισμών, ως ακολούθως:</w:t>
            </w:r>
          </w:p>
          <w:p w:rsidR="00581716" w:rsidRDefault="00581716">
            <w:pPr>
              <w:pStyle w:val="BodyText2"/>
              <w:rPr>
                <w:rFonts w:ascii="Arial" w:hAnsi="Arial" w:cs="Arial"/>
                <w:bCs/>
                <w:sz w:val="18"/>
                <w:szCs w:val="18"/>
                <w:lang w:eastAsia="el-GR"/>
              </w:rPr>
            </w:pPr>
          </w:p>
          <w:p w:rsidR="00581716" w:rsidRDefault="00581716">
            <w:pPr>
              <w:pStyle w:val="BodyText2"/>
              <w:rPr>
                <w:rFonts w:ascii="Arial" w:hAnsi="Arial" w:cs="Arial"/>
                <w:bCs/>
                <w:sz w:val="18"/>
                <w:szCs w:val="18"/>
                <w:lang w:eastAsia="el-GR"/>
              </w:rPr>
            </w:pPr>
          </w:p>
          <w:p w:rsidR="00581716" w:rsidRDefault="00581716">
            <w:pPr>
              <w:pStyle w:val="BodyText2"/>
              <w:rPr>
                <w:rFonts w:ascii="Arial" w:hAnsi="Arial" w:cs="Arial"/>
                <w:bCs/>
                <w:sz w:val="18"/>
                <w:szCs w:val="18"/>
                <w:lang w:eastAsia="el-GR"/>
              </w:rPr>
            </w:pPr>
          </w:p>
          <w:p w:rsidR="00581716" w:rsidRDefault="00581716">
            <w:pPr>
              <w:pStyle w:val="BodyText2"/>
              <w:rPr>
                <w:rFonts w:ascii="Arial" w:hAnsi="Arial" w:cs="Arial"/>
                <w:bCs/>
                <w:sz w:val="18"/>
                <w:szCs w:val="18"/>
                <w:lang w:eastAsia="el-GR"/>
              </w:rPr>
            </w:pPr>
          </w:p>
          <w:p w:rsidR="00581716" w:rsidRDefault="00581716">
            <w:pPr>
              <w:pStyle w:val="BodyText2"/>
              <w:rPr>
                <w:rFonts w:ascii="Arial" w:hAnsi="Arial" w:cs="Arial"/>
                <w:bCs/>
                <w:sz w:val="18"/>
                <w:szCs w:val="18"/>
                <w:lang w:eastAsia="el-GR"/>
              </w:rPr>
            </w:pPr>
          </w:p>
        </w:tc>
      </w:tr>
      <w:tr w:rsidR="007074D5" w:rsidRPr="009C50D5" w:rsidTr="009F2057">
        <w:tc>
          <w:tcPr>
            <w:tcW w:w="1428" w:type="dxa"/>
          </w:tcPr>
          <w:p w:rsidR="007074D5" w:rsidRDefault="007074D5">
            <w:pPr>
              <w:pStyle w:val="BodyText2"/>
              <w:rPr>
                <w:rFonts w:ascii="Arial" w:hAnsi="Arial" w:cs="Arial"/>
                <w:bCs/>
                <w:sz w:val="18"/>
                <w:szCs w:val="18"/>
                <w:lang w:eastAsia="el-GR"/>
              </w:rPr>
            </w:pPr>
          </w:p>
        </w:tc>
        <w:tc>
          <w:tcPr>
            <w:tcW w:w="7752" w:type="dxa"/>
          </w:tcPr>
          <w:p w:rsidR="007074D5" w:rsidRDefault="007074D5" w:rsidP="002D4288">
            <w:pPr>
              <w:pStyle w:val="ListBullet2"/>
              <w:rPr>
                <w:rFonts w:ascii="Arial" w:hAnsi="Arial" w:cs="Arial"/>
                <w:bCs w:val="0"/>
                <w:sz w:val="18"/>
                <w:szCs w:val="18"/>
                <w:lang w:eastAsia="el-GR"/>
              </w:rPr>
            </w:pPr>
            <w:r>
              <w:rPr>
                <w:rFonts w:ascii="Arial" w:hAnsi="Arial" w:cs="Arial"/>
                <w:bCs w:val="0"/>
                <w:sz w:val="18"/>
                <w:szCs w:val="18"/>
                <w:lang w:eastAsia="el-GR"/>
              </w:rPr>
              <w:t>1. Με τη διαγραφή από την παράγραφο 2.2.4 αυτών, της φράσης «</w:t>
            </w:r>
            <w:r w:rsidRPr="002D4288">
              <w:rPr>
                <w:rFonts w:ascii="Arial" w:hAnsi="Arial" w:cs="Arial"/>
                <w:bCs w:val="0"/>
                <w:sz w:val="18"/>
                <w:szCs w:val="18"/>
                <w:lang w:eastAsia="el-GR"/>
              </w:rPr>
              <w:t>Ο περιορισμός του βήματος τιμής δεν ισχύει για τις Προσυμφωνημένες Συναλλαγές.»</w:t>
            </w:r>
          </w:p>
          <w:p w:rsidR="007074D5" w:rsidRDefault="007074D5">
            <w:pPr>
              <w:pStyle w:val="BodyText2"/>
              <w:rPr>
                <w:rFonts w:ascii="Arial" w:hAnsi="Arial" w:cs="Arial"/>
                <w:bCs/>
                <w:sz w:val="18"/>
                <w:szCs w:val="18"/>
                <w:lang w:eastAsia="el-GR"/>
              </w:rPr>
            </w:pPr>
          </w:p>
        </w:tc>
      </w:tr>
      <w:tr w:rsidR="002D4288" w:rsidRPr="009C50D5" w:rsidTr="009F2057">
        <w:tc>
          <w:tcPr>
            <w:tcW w:w="1428" w:type="dxa"/>
          </w:tcPr>
          <w:p w:rsidR="002D4288" w:rsidRDefault="002D4288">
            <w:pPr>
              <w:pStyle w:val="BodyText2"/>
              <w:rPr>
                <w:rFonts w:ascii="Arial" w:hAnsi="Arial" w:cs="Arial"/>
                <w:bCs/>
                <w:sz w:val="18"/>
                <w:szCs w:val="18"/>
                <w:lang w:eastAsia="el-GR"/>
              </w:rPr>
            </w:pPr>
          </w:p>
          <w:p w:rsidR="002D4288" w:rsidRDefault="002D4288">
            <w:pPr>
              <w:pStyle w:val="BodyText2"/>
              <w:rPr>
                <w:rFonts w:ascii="Arial" w:hAnsi="Arial" w:cs="Arial"/>
                <w:bCs/>
                <w:sz w:val="18"/>
                <w:szCs w:val="18"/>
                <w:lang w:eastAsia="el-GR"/>
              </w:rPr>
            </w:pPr>
          </w:p>
          <w:p w:rsidR="002D4288" w:rsidRDefault="002D4288">
            <w:pPr>
              <w:pStyle w:val="BodyText2"/>
              <w:rPr>
                <w:rFonts w:ascii="Arial" w:hAnsi="Arial" w:cs="Arial"/>
                <w:bCs/>
                <w:sz w:val="18"/>
                <w:szCs w:val="18"/>
                <w:lang w:eastAsia="el-GR"/>
              </w:rPr>
            </w:pPr>
          </w:p>
        </w:tc>
        <w:tc>
          <w:tcPr>
            <w:tcW w:w="7752" w:type="dxa"/>
          </w:tcPr>
          <w:p w:rsidR="002D4288" w:rsidRDefault="002D4288" w:rsidP="00BF5C54">
            <w:pPr>
              <w:pStyle w:val="ListBullet2"/>
              <w:rPr>
                <w:rFonts w:ascii="Arial" w:hAnsi="Arial" w:cs="Arial"/>
                <w:bCs w:val="0"/>
                <w:sz w:val="18"/>
                <w:szCs w:val="18"/>
                <w:lang w:eastAsia="el-GR"/>
              </w:rPr>
            </w:pPr>
            <w:r>
              <w:rPr>
                <w:rFonts w:ascii="Arial" w:hAnsi="Arial" w:cs="Arial"/>
                <w:bCs w:val="0"/>
                <w:sz w:val="18"/>
                <w:szCs w:val="18"/>
                <w:lang w:eastAsia="el-GR"/>
              </w:rPr>
              <w:t>2. Με την προσθήκη μετά την παράγραφο 2.2.4 αυτών, της ακόλουθης νέας παραγράφου 2.2.5:</w:t>
            </w:r>
          </w:p>
          <w:p w:rsidR="00BE332A" w:rsidRPr="00BE332A" w:rsidRDefault="002D4288" w:rsidP="00BF5C54">
            <w:pPr>
              <w:pStyle w:val="Heading7"/>
              <w:numPr>
                <w:ilvl w:val="0"/>
                <w:numId w:val="0"/>
              </w:numPr>
              <w:tabs>
                <w:tab w:val="left" w:pos="720"/>
              </w:tabs>
              <w:spacing w:before="0"/>
              <w:rPr>
                <w:rFonts w:ascii="Arial" w:eastAsia="MS Mincho" w:hAnsi="Arial" w:cs="Arial"/>
                <w:iCs w:val="0"/>
                <w:sz w:val="18"/>
                <w:szCs w:val="18"/>
                <w:lang w:eastAsia="el-GR"/>
              </w:rPr>
            </w:pPr>
            <w:r>
              <w:rPr>
                <w:rFonts w:ascii="Arial" w:hAnsi="Arial" w:cs="Arial"/>
                <w:bCs/>
                <w:sz w:val="18"/>
                <w:szCs w:val="18"/>
                <w:lang w:eastAsia="el-GR"/>
              </w:rPr>
              <w:t>«</w:t>
            </w:r>
            <w:r w:rsidR="0082578A">
              <w:rPr>
                <w:rFonts w:ascii="Arial" w:hAnsi="Arial" w:cs="Arial"/>
                <w:bCs/>
                <w:sz w:val="18"/>
                <w:szCs w:val="18"/>
                <w:lang w:eastAsia="el-GR"/>
              </w:rPr>
              <w:t xml:space="preserve">2.2.5 </w:t>
            </w:r>
            <w:r w:rsidR="00BE332A" w:rsidRPr="00BE332A">
              <w:rPr>
                <w:rFonts w:ascii="Arial" w:eastAsia="MS Mincho" w:hAnsi="Arial" w:cs="Arial"/>
                <w:iCs w:val="0"/>
                <w:sz w:val="18"/>
                <w:szCs w:val="18"/>
                <w:lang w:eastAsia="el-GR"/>
              </w:rPr>
              <w:t>Οι  προ-συμφωνημένες συναλλαγές καταχωρούνται:</w:t>
            </w:r>
          </w:p>
          <w:p w:rsidR="00BE332A" w:rsidRPr="00BE332A" w:rsidRDefault="00BE332A" w:rsidP="00BF5C54">
            <w:pPr>
              <w:pStyle w:val="ListParagraph"/>
              <w:numPr>
                <w:ilvl w:val="0"/>
                <w:numId w:val="3"/>
              </w:numPr>
              <w:tabs>
                <w:tab w:val="left" w:pos="567"/>
              </w:tabs>
              <w:ind w:left="871" w:hanging="270"/>
              <w:jc w:val="both"/>
              <w:rPr>
                <w:rFonts w:ascii="Arial" w:eastAsia="MS Mincho" w:hAnsi="Arial" w:cs="Arial"/>
                <w:sz w:val="18"/>
                <w:szCs w:val="18"/>
                <w:lang w:eastAsia="el-GR"/>
              </w:rPr>
            </w:pPr>
            <w:r w:rsidRPr="00BE332A">
              <w:rPr>
                <w:rFonts w:ascii="Arial" w:eastAsia="MS Mincho" w:hAnsi="Arial" w:cs="Arial"/>
                <w:sz w:val="18"/>
                <w:szCs w:val="18"/>
                <w:lang w:eastAsia="el-GR"/>
              </w:rPr>
              <w:t>Είτε στο έγκυρο βήμα τιμής, όπως αυτό ισχύει για κάθε χρηματοπιστωτικό μέσο</w:t>
            </w:r>
          </w:p>
          <w:p w:rsidR="00BE332A" w:rsidRPr="00BE332A" w:rsidRDefault="00BE332A" w:rsidP="00BF5C54">
            <w:pPr>
              <w:pStyle w:val="ListParagraph"/>
              <w:numPr>
                <w:ilvl w:val="0"/>
                <w:numId w:val="3"/>
              </w:numPr>
              <w:tabs>
                <w:tab w:val="left" w:pos="567"/>
              </w:tabs>
              <w:ind w:left="871" w:hanging="283"/>
              <w:jc w:val="both"/>
              <w:rPr>
                <w:rFonts w:ascii="Arial" w:eastAsia="MS Mincho" w:hAnsi="Arial" w:cs="Arial"/>
                <w:sz w:val="18"/>
                <w:szCs w:val="18"/>
                <w:lang w:eastAsia="el-GR"/>
              </w:rPr>
            </w:pPr>
            <w:r w:rsidRPr="00BE332A">
              <w:rPr>
                <w:rFonts w:ascii="Arial" w:eastAsia="MS Mincho" w:hAnsi="Arial" w:cs="Arial"/>
                <w:sz w:val="18"/>
                <w:szCs w:val="18"/>
                <w:lang w:eastAsia="el-GR"/>
              </w:rPr>
              <w:lastRenderedPageBreak/>
              <w:t>Είτε σε μη έγκυρο βήμα τιμής, αλλά με τιμή όπως ορίζεται από τον ενδιάμεσο της καλύτερης αγοράς και πώλησης του συγκεκριμένου χρηματοπιστωτικού μέσου</w:t>
            </w:r>
            <w:r w:rsidRPr="002D4288">
              <w:rPr>
                <w:rFonts w:ascii="Arial" w:hAnsi="Arial" w:cs="Arial"/>
                <w:bCs/>
                <w:sz w:val="18"/>
                <w:szCs w:val="18"/>
                <w:lang w:eastAsia="el-GR"/>
              </w:rPr>
              <w:t>»</w:t>
            </w:r>
          </w:p>
          <w:p w:rsidR="002D4288" w:rsidRDefault="002D4288" w:rsidP="00BF5C54">
            <w:pPr>
              <w:pStyle w:val="ListBullet2"/>
              <w:rPr>
                <w:rFonts w:ascii="Arial" w:hAnsi="Arial" w:cs="Arial"/>
                <w:bCs w:val="0"/>
                <w:sz w:val="18"/>
                <w:szCs w:val="18"/>
                <w:lang w:eastAsia="el-GR"/>
              </w:rPr>
            </w:pPr>
          </w:p>
        </w:tc>
      </w:tr>
      <w:tr w:rsidR="00581716" w:rsidRPr="009C50D5" w:rsidTr="009F2057">
        <w:tc>
          <w:tcPr>
            <w:tcW w:w="1428" w:type="dxa"/>
          </w:tcPr>
          <w:p w:rsidR="00581716" w:rsidRDefault="00581716">
            <w:pPr>
              <w:pStyle w:val="BodyText2"/>
              <w:rPr>
                <w:rFonts w:ascii="Arial" w:hAnsi="Arial" w:cs="Arial"/>
                <w:bCs/>
                <w:sz w:val="18"/>
                <w:szCs w:val="18"/>
                <w:lang w:eastAsia="el-GR"/>
              </w:rPr>
            </w:pPr>
          </w:p>
        </w:tc>
        <w:tc>
          <w:tcPr>
            <w:tcW w:w="7752" w:type="dxa"/>
          </w:tcPr>
          <w:p w:rsidR="00581716" w:rsidRDefault="00C65D46">
            <w:pPr>
              <w:pStyle w:val="BodyText2"/>
              <w:rPr>
                <w:rFonts w:ascii="Arial" w:hAnsi="Arial" w:cs="Arial"/>
                <w:bCs/>
                <w:sz w:val="18"/>
                <w:szCs w:val="18"/>
                <w:lang w:eastAsia="el-GR"/>
              </w:rPr>
            </w:pPr>
            <w:r>
              <w:rPr>
                <w:rFonts w:ascii="Arial" w:hAnsi="Arial" w:cs="Arial"/>
                <w:bCs/>
                <w:sz w:val="18"/>
                <w:szCs w:val="18"/>
                <w:lang w:eastAsia="el-GR"/>
              </w:rPr>
              <w:t>3</w:t>
            </w:r>
            <w:r w:rsidR="00581716">
              <w:rPr>
                <w:rFonts w:ascii="Arial" w:hAnsi="Arial" w:cs="Arial"/>
                <w:bCs/>
                <w:sz w:val="18"/>
                <w:szCs w:val="18"/>
                <w:lang w:eastAsia="el-GR"/>
              </w:rPr>
              <w:t>. Με την προσθήκη στο τέλος του στοιχείου «Τιμή» της παραγράφου 2.4.1 αυτών, της ακόλουθης νέας πρόνοιας:</w:t>
            </w:r>
          </w:p>
          <w:p w:rsidR="00581716" w:rsidRDefault="00581716">
            <w:pPr>
              <w:jc w:val="both"/>
              <w:rPr>
                <w:rFonts w:ascii="Arial" w:hAnsi="Arial" w:cs="Arial"/>
                <w:bCs/>
                <w:sz w:val="18"/>
                <w:szCs w:val="18"/>
                <w:lang w:val="el-GR" w:eastAsia="el-GR"/>
              </w:rPr>
            </w:pPr>
            <w:r>
              <w:rPr>
                <w:rFonts w:ascii="Arial" w:hAnsi="Arial" w:cs="Arial"/>
                <w:bCs/>
                <w:sz w:val="18"/>
                <w:szCs w:val="18"/>
                <w:lang w:val="el-GR" w:eastAsia="el-GR"/>
              </w:rPr>
              <w:t>«Προκειμένου περί Τίτλων Σταθερού Εισοδήματος οι οποίες τυγχάνουν διαπραγμάτευσης υπό συνθήκες καθαρής τιμής (</w:t>
            </w:r>
            <w:proofErr w:type="spellStart"/>
            <w:r>
              <w:rPr>
                <w:rFonts w:ascii="Arial" w:hAnsi="Arial" w:cs="Arial"/>
                <w:bCs/>
                <w:sz w:val="18"/>
                <w:szCs w:val="18"/>
                <w:lang w:val="el-GR" w:eastAsia="el-GR"/>
              </w:rPr>
              <w:t>clean</w:t>
            </w:r>
            <w:proofErr w:type="spellEnd"/>
            <w:r>
              <w:rPr>
                <w:rFonts w:ascii="Arial" w:hAnsi="Arial" w:cs="Arial"/>
                <w:bCs/>
                <w:sz w:val="18"/>
                <w:szCs w:val="18"/>
                <w:lang w:val="el-GR" w:eastAsia="el-GR"/>
              </w:rPr>
              <w:t xml:space="preserve"> </w:t>
            </w:r>
            <w:proofErr w:type="spellStart"/>
            <w:r>
              <w:rPr>
                <w:rFonts w:ascii="Arial" w:hAnsi="Arial" w:cs="Arial"/>
                <w:bCs/>
                <w:sz w:val="18"/>
                <w:szCs w:val="18"/>
                <w:lang w:val="el-GR" w:eastAsia="el-GR"/>
              </w:rPr>
              <w:t>price</w:t>
            </w:r>
            <w:proofErr w:type="spellEnd"/>
            <w:r>
              <w:rPr>
                <w:rFonts w:ascii="Arial" w:hAnsi="Arial" w:cs="Arial"/>
                <w:bCs/>
                <w:sz w:val="18"/>
                <w:szCs w:val="18"/>
                <w:lang w:val="el-GR" w:eastAsia="el-GR"/>
              </w:rPr>
              <w:t>) η τιμή της εντολής δεν θα συμπεριλαμβάνει τους δεδουλευμένους τόκους του συγκεκριμένου τίτλου, τους οποίους το σύστημα θα υπολογίζει και προσθέτει προς διαμόρφωση της μικτής αξίας της εντολής».</w:t>
            </w:r>
          </w:p>
          <w:p w:rsidR="00581716" w:rsidRDefault="00581716">
            <w:pPr>
              <w:pStyle w:val="BodyText2"/>
              <w:rPr>
                <w:rFonts w:ascii="Arial" w:hAnsi="Arial" w:cs="Arial"/>
                <w:bCs/>
                <w:sz w:val="18"/>
                <w:szCs w:val="18"/>
                <w:lang w:eastAsia="el-GR"/>
              </w:rPr>
            </w:pPr>
          </w:p>
        </w:tc>
      </w:tr>
      <w:tr w:rsidR="00581716" w:rsidRPr="009C50D5" w:rsidTr="009F2057">
        <w:tc>
          <w:tcPr>
            <w:tcW w:w="1428" w:type="dxa"/>
          </w:tcPr>
          <w:p w:rsidR="0008360E" w:rsidRDefault="0008360E">
            <w:pPr>
              <w:pStyle w:val="BodyText2"/>
              <w:rPr>
                <w:rFonts w:ascii="Arial" w:hAnsi="Arial" w:cs="Arial"/>
                <w:bCs/>
                <w:sz w:val="18"/>
                <w:szCs w:val="18"/>
                <w:lang w:eastAsia="el-GR"/>
              </w:rPr>
            </w:pPr>
          </w:p>
          <w:p w:rsidR="0008360E" w:rsidRPr="0008360E" w:rsidRDefault="0008360E" w:rsidP="0008360E">
            <w:pPr>
              <w:rPr>
                <w:lang w:val="el-GR" w:eastAsia="el-GR"/>
              </w:rPr>
            </w:pPr>
          </w:p>
          <w:p w:rsidR="0008360E" w:rsidRPr="0008360E" w:rsidRDefault="0008360E" w:rsidP="0008360E">
            <w:pPr>
              <w:rPr>
                <w:lang w:val="el-GR" w:eastAsia="el-GR"/>
              </w:rPr>
            </w:pPr>
          </w:p>
          <w:p w:rsidR="0008360E" w:rsidRPr="0008360E" w:rsidRDefault="0008360E" w:rsidP="0008360E">
            <w:pPr>
              <w:rPr>
                <w:lang w:val="el-GR" w:eastAsia="el-GR"/>
              </w:rPr>
            </w:pPr>
          </w:p>
          <w:p w:rsidR="0008360E" w:rsidRDefault="0008360E" w:rsidP="0008360E">
            <w:pPr>
              <w:rPr>
                <w:lang w:val="el-GR" w:eastAsia="el-GR"/>
              </w:rPr>
            </w:pPr>
          </w:p>
          <w:p w:rsidR="00581716" w:rsidRPr="0008360E" w:rsidRDefault="00581716" w:rsidP="0008360E">
            <w:pPr>
              <w:jc w:val="center"/>
              <w:rPr>
                <w:lang w:val="el-GR" w:eastAsia="el-GR"/>
              </w:rPr>
            </w:pPr>
          </w:p>
        </w:tc>
        <w:tc>
          <w:tcPr>
            <w:tcW w:w="7752" w:type="dxa"/>
          </w:tcPr>
          <w:p w:rsidR="00581716" w:rsidRDefault="00C65D46" w:rsidP="00BF5C54">
            <w:pPr>
              <w:pStyle w:val="BodyText2"/>
              <w:rPr>
                <w:rFonts w:ascii="Arial" w:hAnsi="Arial" w:cs="Arial"/>
                <w:bCs/>
                <w:sz w:val="18"/>
                <w:szCs w:val="18"/>
                <w:lang w:eastAsia="el-GR"/>
              </w:rPr>
            </w:pPr>
            <w:r>
              <w:rPr>
                <w:rFonts w:ascii="Arial" w:hAnsi="Arial" w:cs="Arial"/>
                <w:bCs/>
                <w:sz w:val="18"/>
                <w:szCs w:val="18"/>
                <w:lang w:eastAsia="el-GR"/>
              </w:rPr>
              <w:t>4</w:t>
            </w:r>
            <w:r w:rsidR="00581716">
              <w:rPr>
                <w:rFonts w:ascii="Arial" w:hAnsi="Arial" w:cs="Arial"/>
                <w:bCs/>
                <w:sz w:val="18"/>
                <w:szCs w:val="18"/>
                <w:lang w:eastAsia="el-GR"/>
              </w:rPr>
              <w:t xml:space="preserve">. Με την προσθήκη στο τέλος της </w:t>
            </w:r>
            <w:proofErr w:type="spellStart"/>
            <w:r w:rsidR="00581716">
              <w:rPr>
                <w:rFonts w:ascii="Arial" w:hAnsi="Arial" w:cs="Arial"/>
                <w:bCs/>
                <w:sz w:val="18"/>
                <w:szCs w:val="18"/>
                <w:lang w:eastAsia="el-GR"/>
              </w:rPr>
              <w:t>υποπαραγράφου</w:t>
            </w:r>
            <w:proofErr w:type="spellEnd"/>
            <w:r w:rsidR="00581716">
              <w:rPr>
                <w:rFonts w:ascii="Arial" w:hAnsi="Arial" w:cs="Arial"/>
                <w:bCs/>
                <w:sz w:val="18"/>
                <w:szCs w:val="18"/>
                <w:lang w:eastAsia="el-GR"/>
              </w:rPr>
              <w:t xml:space="preserve"> 1 της παραγράφου 2.4.10 αυτών, της ακόλουθης νέας πρόνοιας:</w:t>
            </w:r>
          </w:p>
          <w:p w:rsidR="00581716" w:rsidRDefault="00581716" w:rsidP="00C65D46">
            <w:pPr>
              <w:jc w:val="both"/>
              <w:rPr>
                <w:rFonts w:ascii="Arial" w:hAnsi="Arial" w:cs="Arial"/>
                <w:bCs/>
                <w:sz w:val="18"/>
                <w:szCs w:val="18"/>
                <w:lang w:val="el-GR" w:eastAsia="el-GR"/>
              </w:rPr>
            </w:pPr>
            <w:r>
              <w:rPr>
                <w:rFonts w:ascii="Arial" w:hAnsi="Arial" w:cs="Arial"/>
                <w:bCs/>
                <w:sz w:val="18"/>
                <w:szCs w:val="18"/>
                <w:lang w:val="el-GR" w:eastAsia="el-GR"/>
              </w:rPr>
              <w:t xml:space="preserve">«Προκειμένου περί εντολών διαρκείας αναφορικά προς Τίτλους Σταθερού Εισοδήματος οι οποίες τυγχάνουν διαπραγμάτευσης υπό συνθήκες  καθαρής τιμής, το σύστημα θα υπολογίζει και προσθέτει τους δεδουλευμένους τόκους του συγκεκριμένου τίτλου προς διαμόρφωση της μικτής αξίας της εντολής». </w:t>
            </w:r>
          </w:p>
          <w:p w:rsidR="00581716" w:rsidRDefault="00581716">
            <w:pPr>
              <w:autoSpaceDE w:val="0"/>
              <w:autoSpaceDN w:val="0"/>
              <w:adjustRightInd w:val="0"/>
              <w:rPr>
                <w:rFonts w:ascii="Arial" w:hAnsi="Arial" w:cs="Arial"/>
                <w:bCs/>
                <w:sz w:val="18"/>
                <w:szCs w:val="18"/>
                <w:lang w:val="el-GR" w:eastAsia="el-GR"/>
              </w:rPr>
            </w:pPr>
          </w:p>
        </w:tc>
      </w:tr>
      <w:tr w:rsidR="00C65D46" w:rsidRPr="009C50D5" w:rsidTr="009F2057">
        <w:tc>
          <w:tcPr>
            <w:tcW w:w="1428" w:type="dxa"/>
          </w:tcPr>
          <w:p w:rsidR="00C65D46" w:rsidRDefault="00C65D46">
            <w:pPr>
              <w:pStyle w:val="BodyText2"/>
              <w:rPr>
                <w:rFonts w:ascii="Arial" w:hAnsi="Arial" w:cs="Arial"/>
                <w:bCs/>
                <w:sz w:val="18"/>
                <w:szCs w:val="18"/>
                <w:lang w:eastAsia="el-GR"/>
              </w:rPr>
            </w:pPr>
          </w:p>
        </w:tc>
        <w:tc>
          <w:tcPr>
            <w:tcW w:w="7752" w:type="dxa"/>
          </w:tcPr>
          <w:p w:rsidR="00C65D46" w:rsidRDefault="00C65D46">
            <w:pPr>
              <w:pStyle w:val="BodyText2"/>
              <w:rPr>
                <w:rFonts w:ascii="Arial" w:hAnsi="Arial" w:cs="Arial"/>
                <w:bCs/>
                <w:sz w:val="18"/>
                <w:szCs w:val="18"/>
                <w:lang w:eastAsia="el-GR"/>
              </w:rPr>
            </w:pPr>
            <w:r>
              <w:rPr>
                <w:rFonts w:ascii="Arial" w:hAnsi="Arial" w:cs="Arial"/>
                <w:bCs/>
                <w:sz w:val="18"/>
                <w:szCs w:val="18"/>
                <w:lang w:eastAsia="el-GR"/>
              </w:rPr>
              <w:t xml:space="preserve">5. </w:t>
            </w:r>
            <w:r w:rsidR="00BF5C54">
              <w:rPr>
                <w:rFonts w:ascii="Arial" w:hAnsi="Arial" w:cs="Arial"/>
                <w:bCs/>
                <w:sz w:val="18"/>
                <w:szCs w:val="18"/>
                <w:lang w:eastAsia="el-GR"/>
              </w:rPr>
              <w:t>Με την προσθήκη στην παράγραφο 2.4.11 αυτών, στο τέλος της πρώτης επιφύλαξης, μετά το σημείο 3), του ακόλουθου νέου σημείου 4):</w:t>
            </w:r>
            <w:bookmarkStart w:id="0" w:name="_GoBack"/>
            <w:bookmarkEnd w:id="0"/>
          </w:p>
          <w:p w:rsidR="00C65D46" w:rsidRPr="006540BE" w:rsidRDefault="00BF5C54">
            <w:pPr>
              <w:pStyle w:val="BodyText2"/>
              <w:rPr>
                <w:rFonts w:ascii="Arial" w:hAnsi="Arial" w:cs="Arial"/>
                <w:bCs/>
                <w:sz w:val="18"/>
                <w:szCs w:val="18"/>
                <w:lang w:eastAsia="el-GR"/>
              </w:rPr>
            </w:pPr>
            <w:r>
              <w:rPr>
                <w:rFonts w:ascii="Arial" w:hAnsi="Arial" w:cs="Arial"/>
                <w:bCs/>
                <w:sz w:val="18"/>
                <w:szCs w:val="18"/>
                <w:lang w:eastAsia="el-GR"/>
              </w:rPr>
              <w:t xml:space="preserve"> «4) </w:t>
            </w:r>
            <w:r w:rsidRPr="00BF5C54">
              <w:rPr>
                <w:rFonts w:ascii="Arial" w:hAnsi="Arial" w:cs="Arial"/>
                <w:bCs/>
                <w:sz w:val="18"/>
                <w:szCs w:val="18"/>
                <w:lang w:eastAsia="el-GR"/>
              </w:rPr>
              <w:t>Όταν το Μέλος σε έκτακτες περιπτώσεις αντιμετωπίζει προβλήματα ακραίων καταστάσεων (π.χ. συνδεσιμότητας στο ΟΑΣΗΣ) και επιθυμεί τη μαζική ακύρωση καταχωρημένων εντολών. Σε αυτή την περίπτωση, το Μέλος θα πρέπει να υποβάλει γραπτό αίτημα προς το Γενικό Διευθυντή, με το οποίο να υποδεικνύει τις  συγκεκριμένες εντολές που επιθυμεί να ακυρωθούν καθώς και το λόγο της ακύρωσης τους.»</w:t>
            </w:r>
          </w:p>
          <w:p w:rsidR="00C65D46" w:rsidRDefault="00C65D46">
            <w:pPr>
              <w:pStyle w:val="BodyText2"/>
              <w:rPr>
                <w:rFonts w:ascii="Arial" w:hAnsi="Arial" w:cs="Arial"/>
                <w:bCs/>
                <w:sz w:val="18"/>
                <w:szCs w:val="18"/>
                <w:lang w:eastAsia="el-GR"/>
              </w:rPr>
            </w:pPr>
          </w:p>
        </w:tc>
      </w:tr>
    </w:tbl>
    <w:p w:rsidR="008935B8" w:rsidRPr="00581716" w:rsidRDefault="008935B8">
      <w:pPr>
        <w:rPr>
          <w:lang w:val="el-GR"/>
        </w:rPr>
      </w:pPr>
    </w:p>
    <w:sectPr w:rsidR="008935B8" w:rsidRPr="0058171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D2" w:rsidRDefault="000339D2" w:rsidP="000339D2">
      <w:r>
        <w:separator/>
      </w:r>
    </w:p>
  </w:endnote>
  <w:endnote w:type="continuationSeparator" w:id="0">
    <w:p w:rsidR="000339D2" w:rsidRDefault="000339D2" w:rsidP="0003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D2" w:rsidRDefault="000339D2" w:rsidP="0008360E">
    <w:pPr>
      <w:pStyle w:val="Footer"/>
      <w:tabs>
        <w:tab w:val="left" w:pos="8505"/>
        <w:tab w:val="right" w:pos="9026"/>
      </w:tabs>
    </w:pPr>
    <w:r>
      <w:t>SP/</w:t>
    </w:r>
    <w:sdt>
      <w:sdtPr>
        <w:id w:val="990364032"/>
        <w:docPartObj>
          <w:docPartGallery w:val="Page Numbers (Bottom of Page)"/>
          <w:docPartUnique/>
        </w:docPartObj>
      </w:sdtPr>
      <w:sdtEndPr>
        <w:rPr>
          <w:noProof/>
        </w:rPr>
      </w:sdtEndPr>
      <w:sdtContent>
        <w:fldSimple w:instr=" FILENAME  \p  \* MERGEFORMAT ">
          <w:r>
            <w:rPr>
              <w:noProof/>
            </w:rPr>
            <w:t>L:\Ammendments\2020\tropopoiisi trading rules clean kai mifid.docx</w:t>
          </w:r>
        </w:fldSimple>
        <w:r>
          <w:tab/>
        </w:r>
        <w:r>
          <w:tab/>
        </w:r>
        <w:r>
          <w:tab/>
        </w:r>
        <w:r>
          <w:tab/>
        </w:r>
        <w:r>
          <w:fldChar w:fldCharType="begin"/>
        </w:r>
        <w:r>
          <w:instrText xml:space="preserve"> PAGE   \* MERGEFORMAT </w:instrText>
        </w:r>
        <w:r>
          <w:fldChar w:fldCharType="separate"/>
        </w:r>
        <w:r w:rsidR="0008360E">
          <w:rPr>
            <w:noProof/>
          </w:rPr>
          <w:t>2</w:t>
        </w:r>
        <w:r>
          <w:rPr>
            <w:noProof/>
          </w:rPr>
          <w:fldChar w:fldCharType="end"/>
        </w:r>
      </w:sdtContent>
    </w:sdt>
  </w:p>
  <w:p w:rsidR="000339D2" w:rsidRDefault="0003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D2" w:rsidRDefault="000339D2" w:rsidP="000339D2">
      <w:r>
        <w:separator/>
      </w:r>
    </w:p>
  </w:footnote>
  <w:footnote w:type="continuationSeparator" w:id="0">
    <w:p w:rsidR="000339D2" w:rsidRDefault="000339D2" w:rsidP="0003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6725C"/>
    <w:multiLevelType w:val="hybridMultilevel"/>
    <w:tmpl w:val="EBEC7062"/>
    <w:lvl w:ilvl="0" w:tplc="8D8487E2">
      <w:start w:val="1"/>
      <w:numFmt w:val="decimal"/>
      <w:lvlText w:val="%1)"/>
      <w:lvlJc w:val="left"/>
      <w:pPr>
        <w:ind w:left="1070" w:hanging="360"/>
      </w:pPr>
      <w:rPr>
        <w:rFonts w:cs="Times New Roman"/>
      </w:rPr>
    </w:lvl>
    <w:lvl w:ilvl="1" w:tplc="04080019">
      <w:start w:val="1"/>
      <w:numFmt w:val="lowerLetter"/>
      <w:lvlText w:val="%2."/>
      <w:lvlJc w:val="left"/>
      <w:pPr>
        <w:ind w:left="1865" w:hanging="360"/>
      </w:pPr>
      <w:rPr>
        <w:rFonts w:cs="Times New Roman"/>
      </w:rPr>
    </w:lvl>
    <w:lvl w:ilvl="2" w:tplc="0408001B">
      <w:start w:val="1"/>
      <w:numFmt w:val="lowerRoman"/>
      <w:lvlText w:val="%3."/>
      <w:lvlJc w:val="right"/>
      <w:pPr>
        <w:ind w:left="2585" w:hanging="180"/>
      </w:pPr>
      <w:rPr>
        <w:rFonts w:cs="Times New Roman"/>
      </w:rPr>
    </w:lvl>
    <w:lvl w:ilvl="3" w:tplc="0408000F">
      <w:start w:val="1"/>
      <w:numFmt w:val="decimal"/>
      <w:lvlText w:val="%4."/>
      <w:lvlJc w:val="left"/>
      <w:pPr>
        <w:ind w:left="3305" w:hanging="360"/>
      </w:pPr>
      <w:rPr>
        <w:rFonts w:cs="Times New Roman"/>
      </w:rPr>
    </w:lvl>
    <w:lvl w:ilvl="4" w:tplc="04080019">
      <w:start w:val="1"/>
      <w:numFmt w:val="lowerLetter"/>
      <w:lvlText w:val="%5."/>
      <w:lvlJc w:val="left"/>
      <w:pPr>
        <w:ind w:left="4025" w:hanging="360"/>
      </w:pPr>
      <w:rPr>
        <w:rFonts w:cs="Times New Roman"/>
      </w:rPr>
    </w:lvl>
    <w:lvl w:ilvl="5" w:tplc="0408001B">
      <w:start w:val="1"/>
      <w:numFmt w:val="lowerRoman"/>
      <w:lvlText w:val="%6."/>
      <w:lvlJc w:val="right"/>
      <w:pPr>
        <w:ind w:left="4745" w:hanging="180"/>
      </w:pPr>
      <w:rPr>
        <w:rFonts w:cs="Times New Roman"/>
      </w:rPr>
    </w:lvl>
    <w:lvl w:ilvl="6" w:tplc="0408000F">
      <w:start w:val="1"/>
      <w:numFmt w:val="decimal"/>
      <w:lvlText w:val="%7."/>
      <w:lvlJc w:val="left"/>
      <w:pPr>
        <w:ind w:left="5465" w:hanging="360"/>
      </w:pPr>
      <w:rPr>
        <w:rFonts w:cs="Times New Roman"/>
      </w:rPr>
    </w:lvl>
    <w:lvl w:ilvl="7" w:tplc="04080019">
      <w:start w:val="1"/>
      <w:numFmt w:val="lowerLetter"/>
      <w:lvlText w:val="%8."/>
      <w:lvlJc w:val="left"/>
      <w:pPr>
        <w:ind w:left="6185" w:hanging="360"/>
      </w:pPr>
      <w:rPr>
        <w:rFonts w:cs="Times New Roman"/>
      </w:rPr>
    </w:lvl>
    <w:lvl w:ilvl="8" w:tplc="0408001B">
      <w:start w:val="1"/>
      <w:numFmt w:val="lowerRoman"/>
      <w:lvlText w:val="%9."/>
      <w:lvlJc w:val="right"/>
      <w:pPr>
        <w:ind w:left="6905" w:hanging="180"/>
      </w:pPr>
      <w:rPr>
        <w:rFonts w:cs="Times New Roman"/>
      </w:rPr>
    </w:lvl>
  </w:abstractNum>
  <w:abstractNum w:abstractNumId="1" w15:restartNumberingAfterBreak="0">
    <w:nsid w:val="615B27B1"/>
    <w:multiLevelType w:val="hybridMultilevel"/>
    <w:tmpl w:val="4A38D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75F2F"/>
    <w:multiLevelType w:val="multilevel"/>
    <w:tmpl w:val="3F1EEC0A"/>
    <w:lvl w:ilvl="0">
      <w:start w:val="1"/>
      <w:numFmt w:val="decimal"/>
      <w:pStyle w:val="Heading1"/>
      <w:lvlText w:val="ΜΕΡΟΣ %1."/>
      <w:lvlJc w:val="left"/>
      <w:pPr>
        <w:ind w:left="432" w:hanging="432"/>
      </w:pPr>
      <w:rPr>
        <w:rFonts w:cs="Times New Roman"/>
        <w:sz w:val="32"/>
      </w:rPr>
    </w:lvl>
    <w:lvl w:ilvl="1">
      <w:start w:val="1"/>
      <w:numFmt w:val="decimal"/>
      <w:pStyle w:val="Heading2"/>
      <w:lvlText w:val="Άρθρο %2."/>
      <w:lvlJc w:val="left"/>
      <w:pPr>
        <w:ind w:left="576" w:hanging="576"/>
      </w:pPr>
      <w:rPr>
        <w:rFonts w:cs="Times New Roman"/>
        <w:caps w:val="0"/>
        <w:sz w:val="28"/>
        <w:szCs w:val="28"/>
      </w:rPr>
    </w:lvl>
    <w:lvl w:ilvl="2">
      <w:start w:val="1"/>
      <w:numFmt w:val="decimal"/>
      <w:pStyle w:val="Heading3"/>
      <w:lvlText w:val="%2.%3"/>
      <w:lvlJc w:val="left"/>
      <w:pPr>
        <w:ind w:left="720" w:hanging="720"/>
      </w:pPr>
      <w:rPr>
        <w:rFonts w:cs="Times New Roman"/>
        <w:b/>
        <w:sz w:val="28"/>
        <w:szCs w:val="28"/>
      </w:rPr>
    </w:lvl>
    <w:lvl w:ilvl="3">
      <w:start w:val="1"/>
      <w:numFmt w:val="decimal"/>
      <w:pStyle w:val="Heading4"/>
      <w:lvlText w:val="%2.%3.%4"/>
      <w:lvlJc w:val="left"/>
      <w:pPr>
        <w:ind w:left="864" w:hanging="864"/>
      </w:pPr>
      <w:rPr>
        <w:rFonts w:cs="Times New Roman"/>
      </w:rPr>
    </w:lvl>
    <w:lvl w:ilvl="4">
      <w:start w:val="1"/>
      <w:numFmt w:val="decimal"/>
      <w:pStyle w:val="Heading5"/>
      <w:lvlText w:val="%2.%3.%4.%5"/>
      <w:lvlJc w:val="left"/>
      <w:pPr>
        <w:ind w:left="1008" w:hanging="1008"/>
      </w:pPr>
      <w:rPr>
        <w:rFonts w:cs="Times New Roman"/>
      </w:rPr>
    </w:lvl>
    <w:lvl w:ilvl="5">
      <w:start w:val="1"/>
      <w:numFmt w:val="decimal"/>
      <w:pStyle w:val="Heading6"/>
      <w:lvlText w:val="%2.%3.%4.%5.%6"/>
      <w:lvlJc w:val="left"/>
      <w:pPr>
        <w:ind w:left="1152" w:hanging="1152"/>
      </w:pPr>
      <w:rPr>
        <w:rFonts w:cs="Times New Roman"/>
      </w:rPr>
    </w:lvl>
    <w:lvl w:ilvl="6">
      <w:start w:val="1"/>
      <w:numFmt w:val="decimal"/>
      <w:pStyle w:val="Heading7"/>
      <w:lvlText w:val="%7."/>
      <w:lvlJc w:val="left"/>
      <w:pPr>
        <w:tabs>
          <w:tab w:val="num" w:pos="425"/>
        </w:tabs>
        <w:ind w:left="425" w:hanging="425"/>
      </w:pPr>
      <w:rPr>
        <w:rFonts w:cs="Times New Roman"/>
        <w:b/>
        <w:sz w:val="22"/>
      </w:rPr>
    </w:lvl>
    <w:lvl w:ilvl="7">
      <w:start w:val="1"/>
      <w:numFmt w:val="decimal"/>
      <w:pStyle w:val="Heading8"/>
      <w:lvlText w:val="%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16"/>
    <w:rsid w:val="000339D2"/>
    <w:rsid w:val="0008360E"/>
    <w:rsid w:val="00200A1C"/>
    <w:rsid w:val="002D4288"/>
    <w:rsid w:val="00581716"/>
    <w:rsid w:val="006540BE"/>
    <w:rsid w:val="007074D5"/>
    <w:rsid w:val="0082578A"/>
    <w:rsid w:val="008935B8"/>
    <w:rsid w:val="009C50D5"/>
    <w:rsid w:val="009F2057"/>
    <w:rsid w:val="00BE332A"/>
    <w:rsid w:val="00BF5C54"/>
    <w:rsid w:val="00C65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AD40A4-A8DA-453C-9844-F5C9E6FA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1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BE332A"/>
    <w:pPr>
      <w:keepNext/>
      <w:numPr>
        <w:numId w:val="2"/>
      </w:numPr>
      <w:spacing w:before="480" w:after="360"/>
      <w:jc w:val="both"/>
      <w:outlineLvl w:val="0"/>
    </w:pPr>
    <w:rPr>
      <w:rFonts w:ascii="Calibri" w:eastAsia="MS Mincho" w:hAnsi="Calibri"/>
      <w:b/>
      <w:bCs/>
      <w:sz w:val="32"/>
      <w:lang w:val="el-GR"/>
    </w:rPr>
  </w:style>
  <w:style w:type="paragraph" w:styleId="Heading2">
    <w:name w:val="heading 2"/>
    <w:basedOn w:val="Normal"/>
    <w:next w:val="Normal"/>
    <w:link w:val="Heading2Char"/>
    <w:uiPriority w:val="99"/>
    <w:semiHidden/>
    <w:unhideWhenUsed/>
    <w:qFormat/>
    <w:rsid w:val="00BE332A"/>
    <w:pPr>
      <w:keepNext/>
      <w:numPr>
        <w:ilvl w:val="1"/>
        <w:numId w:val="2"/>
      </w:numPr>
      <w:spacing w:before="480" w:after="360"/>
      <w:jc w:val="both"/>
      <w:outlineLvl w:val="1"/>
    </w:pPr>
    <w:rPr>
      <w:rFonts w:ascii="Calibri" w:eastAsia="MS Mincho" w:hAnsi="Calibri" w:cs="Arial"/>
      <w:b/>
      <w:spacing w:val="-2"/>
      <w:sz w:val="28"/>
      <w:szCs w:val="22"/>
      <w:lang w:val="el-GR"/>
    </w:rPr>
  </w:style>
  <w:style w:type="paragraph" w:styleId="Heading3">
    <w:name w:val="heading 3"/>
    <w:basedOn w:val="Normal"/>
    <w:next w:val="Normal"/>
    <w:link w:val="Heading3Char"/>
    <w:uiPriority w:val="99"/>
    <w:semiHidden/>
    <w:unhideWhenUsed/>
    <w:qFormat/>
    <w:rsid w:val="00BE332A"/>
    <w:pPr>
      <w:keepNext/>
      <w:numPr>
        <w:ilvl w:val="2"/>
        <w:numId w:val="2"/>
      </w:numPr>
      <w:spacing w:before="360" w:after="240"/>
      <w:jc w:val="both"/>
      <w:outlineLvl w:val="2"/>
    </w:pPr>
    <w:rPr>
      <w:rFonts w:ascii="Calibri" w:eastAsia="MS Mincho" w:hAnsi="Calibri"/>
      <w:b/>
      <w:sz w:val="28"/>
      <w:lang w:val="el-GR"/>
    </w:rPr>
  </w:style>
  <w:style w:type="paragraph" w:styleId="Heading4">
    <w:name w:val="heading 4"/>
    <w:basedOn w:val="Normal"/>
    <w:next w:val="Normal"/>
    <w:link w:val="Heading4Char"/>
    <w:uiPriority w:val="99"/>
    <w:semiHidden/>
    <w:unhideWhenUsed/>
    <w:qFormat/>
    <w:rsid w:val="00BE332A"/>
    <w:pPr>
      <w:keepNext/>
      <w:numPr>
        <w:ilvl w:val="3"/>
        <w:numId w:val="2"/>
      </w:numPr>
      <w:spacing w:before="360" w:after="240" w:line="288" w:lineRule="auto"/>
      <w:jc w:val="both"/>
      <w:outlineLvl w:val="3"/>
    </w:pPr>
    <w:rPr>
      <w:rFonts w:ascii="Calibri" w:eastAsia="Arial Unicode MS" w:hAnsi="Calibri"/>
      <w:b/>
      <w:sz w:val="28"/>
      <w:lang w:val="el-GR"/>
    </w:rPr>
  </w:style>
  <w:style w:type="paragraph" w:styleId="Heading5">
    <w:name w:val="heading 5"/>
    <w:basedOn w:val="Normal"/>
    <w:next w:val="Normal"/>
    <w:link w:val="Heading5Char"/>
    <w:uiPriority w:val="99"/>
    <w:semiHidden/>
    <w:unhideWhenUsed/>
    <w:qFormat/>
    <w:rsid w:val="00BE332A"/>
    <w:pPr>
      <w:keepNext/>
      <w:numPr>
        <w:ilvl w:val="4"/>
        <w:numId w:val="2"/>
      </w:numPr>
      <w:spacing w:before="360" w:after="120"/>
      <w:jc w:val="both"/>
      <w:outlineLvl w:val="4"/>
    </w:pPr>
    <w:rPr>
      <w:rFonts w:ascii="Calibri" w:eastAsia="MS Mincho" w:hAnsi="Calibri"/>
      <w:b/>
      <w:sz w:val="24"/>
      <w:lang w:val="el-GR"/>
    </w:rPr>
  </w:style>
  <w:style w:type="paragraph" w:styleId="Heading6">
    <w:name w:val="heading 6"/>
    <w:basedOn w:val="Normal"/>
    <w:next w:val="Normal"/>
    <w:link w:val="Heading6Char"/>
    <w:uiPriority w:val="99"/>
    <w:semiHidden/>
    <w:unhideWhenUsed/>
    <w:qFormat/>
    <w:rsid w:val="00BE332A"/>
    <w:pPr>
      <w:numPr>
        <w:ilvl w:val="5"/>
        <w:numId w:val="2"/>
      </w:numPr>
      <w:spacing w:before="240" w:after="120"/>
      <w:jc w:val="both"/>
      <w:outlineLvl w:val="5"/>
    </w:pPr>
    <w:rPr>
      <w:rFonts w:ascii="Calibri" w:eastAsia="MS Mincho" w:hAnsi="Calibri"/>
      <w:b/>
      <w:bCs/>
      <w:sz w:val="22"/>
      <w:lang w:val="el-GR" w:eastAsia="el-GR"/>
    </w:rPr>
  </w:style>
  <w:style w:type="paragraph" w:styleId="Heading7">
    <w:name w:val="heading 7"/>
    <w:basedOn w:val="Normal"/>
    <w:next w:val="Normal"/>
    <w:link w:val="Heading7Char"/>
    <w:uiPriority w:val="99"/>
    <w:semiHidden/>
    <w:unhideWhenUsed/>
    <w:qFormat/>
    <w:rsid w:val="00BE332A"/>
    <w:pPr>
      <w:numPr>
        <w:ilvl w:val="6"/>
        <w:numId w:val="2"/>
      </w:numPr>
      <w:spacing w:before="240"/>
      <w:jc w:val="both"/>
      <w:outlineLvl w:val="6"/>
    </w:pPr>
    <w:rPr>
      <w:rFonts w:ascii="Calibri" w:eastAsia="MS Gothic" w:hAnsi="Calibri"/>
      <w:iCs/>
      <w:sz w:val="22"/>
      <w:lang w:val="el-GR"/>
    </w:rPr>
  </w:style>
  <w:style w:type="paragraph" w:styleId="Heading8">
    <w:name w:val="heading 8"/>
    <w:basedOn w:val="Normal"/>
    <w:next w:val="Normal"/>
    <w:link w:val="Heading8Char"/>
    <w:uiPriority w:val="99"/>
    <w:semiHidden/>
    <w:unhideWhenUsed/>
    <w:qFormat/>
    <w:rsid w:val="00BE332A"/>
    <w:pPr>
      <w:keepNext/>
      <w:keepLines/>
      <w:numPr>
        <w:ilvl w:val="7"/>
        <w:numId w:val="2"/>
      </w:numPr>
      <w:spacing w:before="200"/>
      <w:jc w:val="both"/>
      <w:outlineLvl w:val="7"/>
    </w:pPr>
    <w:rPr>
      <w:rFonts w:ascii="Calibri" w:eastAsia="MS Gothic" w:hAnsi="Calibri"/>
      <w:color w:val="404040"/>
      <w:lang w:val="el-GR"/>
    </w:rPr>
  </w:style>
  <w:style w:type="paragraph" w:styleId="Heading9">
    <w:name w:val="heading 9"/>
    <w:basedOn w:val="Normal"/>
    <w:next w:val="Normal"/>
    <w:link w:val="Heading9Char"/>
    <w:uiPriority w:val="99"/>
    <w:semiHidden/>
    <w:unhideWhenUsed/>
    <w:qFormat/>
    <w:rsid w:val="00BE332A"/>
    <w:pPr>
      <w:keepNext/>
      <w:keepLines/>
      <w:numPr>
        <w:ilvl w:val="8"/>
        <w:numId w:val="2"/>
      </w:numPr>
      <w:spacing w:before="200"/>
      <w:jc w:val="both"/>
      <w:outlineLvl w:val="8"/>
    </w:pPr>
    <w:rPr>
      <w:rFonts w:ascii="Calibri" w:eastAsia="MS Gothic" w:hAnsi="Calibri"/>
      <w:i/>
      <w:iCs/>
      <w:color w:val="40404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81716"/>
    <w:pPr>
      <w:jc w:val="both"/>
    </w:pPr>
    <w:rPr>
      <w:sz w:val="22"/>
      <w:lang w:val="el-GR"/>
    </w:rPr>
  </w:style>
  <w:style w:type="character" w:customStyle="1" w:styleId="BodyText2Char">
    <w:name w:val="Body Text 2 Char"/>
    <w:basedOn w:val="DefaultParagraphFont"/>
    <w:link w:val="BodyText2"/>
    <w:rsid w:val="00581716"/>
    <w:rPr>
      <w:rFonts w:ascii="Times New Roman" w:eastAsia="Times New Roman" w:hAnsi="Times New Roman" w:cs="Times New Roman"/>
      <w:szCs w:val="20"/>
    </w:rPr>
  </w:style>
  <w:style w:type="paragraph" w:styleId="ListBullet2">
    <w:name w:val="List Bullet 2"/>
    <w:aliases w:val="List Bullet 2 Char1,List Bullet 2 Char Char1,List Bullet 2 Char Char Char Char Char1,List Bullet 2 Char Char Char1 Char,List Bullet 2 Char Char Char Char Char Char Char,List Bullet 2 Char Char Char Char1"/>
    <w:basedOn w:val="Normal"/>
    <w:autoRedefine/>
    <w:unhideWhenUsed/>
    <w:rsid w:val="007074D5"/>
    <w:pPr>
      <w:tabs>
        <w:tab w:val="center" w:pos="3780"/>
      </w:tabs>
      <w:jc w:val="both"/>
    </w:pPr>
    <w:rPr>
      <w:rFonts w:eastAsia="MS Mincho"/>
      <w:bCs/>
      <w:sz w:val="26"/>
      <w:szCs w:val="26"/>
      <w:lang w:val="el-GR"/>
    </w:rPr>
  </w:style>
  <w:style w:type="character" w:customStyle="1" w:styleId="Heading1Char">
    <w:name w:val="Heading 1 Char"/>
    <w:basedOn w:val="DefaultParagraphFont"/>
    <w:link w:val="Heading1"/>
    <w:uiPriority w:val="99"/>
    <w:rsid w:val="00BE332A"/>
    <w:rPr>
      <w:rFonts w:ascii="Calibri" w:eastAsia="MS Mincho" w:hAnsi="Calibri" w:cs="Times New Roman"/>
      <w:b/>
      <w:bCs/>
      <w:sz w:val="32"/>
      <w:szCs w:val="20"/>
    </w:rPr>
  </w:style>
  <w:style w:type="character" w:customStyle="1" w:styleId="Heading2Char">
    <w:name w:val="Heading 2 Char"/>
    <w:basedOn w:val="DefaultParagraphFont"/>
    <w:link w:val="Heading2"/>
    <w:uiPriority w:val="99"/>
    <w:semiHidden/>
    <w:rsid w:val="00BE332A"/>
    <w:rPr>
      <w:rFonts w:ascii="Calibri" w:eastAsia="MS Mincho" w:hAnsi="Calibri" w:cs="Arial"/>
      <w:b/>
      <w:spacing w:val="-2"/>
      <w:sz w:val="28"/>
    </w:rPr>
  </w:style>
  <w:style w:type="character" w:customStyle="1" w:styleId="Heading3Char">
    <w:name w:val="Heading 3 Char"/>
    <w:basedOn w:val="DefaultParagraphFont"/>
    <w:link w:val="Heading3"/>
    <w:uiPriority w:val="99"/>
    <w:semiHidden/>
    <w:rsid w:val="00BE332A"/>
    <w:rPr>
      <w:rFonts w:ascii="Calibri" w:eastAsia="MS Mincho" w:hAnsi="Calibri" w:cs="Times New Roman"/>
      <w:b/>
      <w:sz w:val="28"/>
      <w:szCs w:val="20"/>
    </w:rPr>
  </w:style>
  <w:style w:type="character" w:customStyle="1" w:styleId="Heading4Char">
    <w:name w:val="Heading 4 Char"/>
    <w:basedOn w:val="DefaultParagraphFont"/>
    <w:link w:val="Heading4"/>
    <w:uiPriority w:val="99"/>
    <w:semiHidden/>
    <w:rsid w:val="00BE332A"/>
    <w:rPr>
      <w:rFonts w:ascii="Calibri" w:eastAsia="Arial Unicode MS" w:hAnsi="Calibri" w:cs="Times New Roman"/>
      <w:b/>
      <w:sz w:val="28"/>
      <w:szCs w:val="20"/>
    </w:rPr>
  </w:style>
  <w:style w:type="character" w:customStyle="1" w:styleId="Heading5Char">
    <w:name w:val="Heading 5 Char"/>
    <w:basedOn w:val="DefaultParagraphFont"/>
    <w:link w:val="Heading5"/>
    <w:uiPriority w:val="99"/>
    <w:semiHidden/>
    <w:rsid w:val="00BE332A"/>
    <w:rPr>
      <w:rFonts w:ascii="Calibri" w:eastAsia="MS Mincho" w:hAnsi="Calibri" w:cs="Times New Roman"/>
      <w:b/>
      <w:sz w:val="24"/>
      <w:szCs w:val="20"/>
    </w:rPr>
  </w:style>
  <w:style w:type="character" w:customStyle="1" w:styleId="Heading6Char">
    <w:name w:val="Heading 6 Char"/>
    <w:basedOn w:val="DefaultParagraphFont"/>
    <w:link w:val="Heading6"/>
    <w:uiPriority w:val="99"/>
    <w:semiHidden/>
    <w:rsid w:val="00BE332A"/>
    <w:rPr>
      <w:rFonts w:ascii="Calibri" w:eastAsia="MS Mincho" w:hAnsi="Calibri" w:cs="Times New Roman"/>
      <w:b/>
      <w:bCs/>
      <w:szCs w:val="20"/>
      <w:lang w:eastAsia="el-GR"/>
    </w:rPr>
  </w:style>
  <w:style w:type="character" w:customStyle="1" w:styleId="Heading7Char">
    <w:name w:val="Heading 7 Char"/>
    <w:basedOn w:val="DefaultParagraphFont"/>
    <w:link w:val="Heading7"/>
    <w:uiPriority w:val="99"/>
    <w:semiHidden/>
    <w:rsid w:val="00BE332A"/>
    <w:rPr>
      <w:rFonts w:ascii="Calibri" w:eastAsia="MS Gothic" w:hAnsi="Calibri" w:cs="Times New Roman"/>
      <w:iCs/>
      <w:szCs w:val="20"/>
    </w:rPr>
  </w:style>
  <w:style w:type="character" w:customStyle="1" w:styleId="Heading8Char">
    <w:name w:val="Heading 8 Char"/>
    <w:basedOn w:val="DefaultParagraphFont"/>
    <w:link w:val="Heading8"/>
    <w:uiPriority w:val="99"/>
    <w:semiHidden/>
    <w:rsid w:val="00BE332A"/>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9"/>
    <w:semiHidden/>
    <w:rsid w:val="00BE332A"/>
    <w:rPr>
      <w:rFonts w:ascii="Calibri" w:eastAsia="MS Gothic" w:hAnsi="Calibri" w:cs="Times New Roman"/>
      <w:i/>
      <w:iCs/>
      <w:color w:val="404040"/>
      <w:sz w:val="20"/>
      <w:szCs w:val="20"/>
    </w:rPr>
  </w:style>
  <w:style w:type="character" w:customStyle="1" w:styleId="ListParagraphChar">
    <w:name w:val="List Paragraph Char"/>
    <w:link w:val="ListParagraph"/>
    <w:uiPriority w:val="34"/>
    <w:locked/>
    <w:rsid w:val="00BE332A"/>
    <w:rPr>
      <w:sz w:val="24"/>
      <w:szCs w:val="24"/>
    </w:rPr>
  </w:style>
  <w:style w:type="paragraph" w:styleId="ListParagraph">
    <w:name w:val="List Paragraph"/>
    <w:basedOn w:val="Normal"/>
    <w:link w:val="ListParagraphChar"/>
    <w:uiPriority w:val="34"/>
    <w:qFormat/>
    <w:rsid w:val="00BE332A"/>
    <w:pPr>
      <w:ind w:left="720"/>
      <w:contextualSpacing/>
    </w:pPr>
    <w:rPr>
      <w:rFonts w:asciiTheme="minorHAnsi" w:eastAsiaTheme="minorHAnsi" w:hAnsiTheme="minorHAnsi" w:cstheme="minorBidi"/>
      <w:sz w:val="24"/>
      <w:szCs w:val="24"/>
      <w:lang w:val="el-GR"/>
    </w:rPr>
  </w:style>
  <w:style w:type="character" w:customStyle="1" w:styleId="MessageHeaderLabel">
    <w:name w:val="Message Header Label"/>
    <w:rsid w:val="00BF5C54"/>
    <w:rPr>
      <w:b/>
      <w:bCs w:val="0"/>
    </w:rPr>
  </w:style>
  <w:style w:type="paragraph" w:styleId="Header">
    <w:name w:val="header"/>
    <w:basedOn w:val="Normal"/>
    <w:link w:val="HeaderChar"/>
    <w:uiPriority w:val="99"/>
    <w:unhideWhenUsed/>
    <w:rsid w:val="000339D2"/>
    <w:pPr>
      <w:tabs>
        <w:tab w:val="center" w:pos="4153"/>
        <w:tab w:val="right" w:pos="8306"/>
      </w:tabs>
    </w:pPr>
  </w:style>
  <w:style w:type="character" w:customStyle="1" w:styleId="HeaderChar">
    <w:name w:val="Header Char"/>
    <w:basedOn w:val="DefaultParagraphFont"/>
    <w:link w:val="Header"/>
    <w:uiPriority w:val="99"/>
    <w:rsid w:val="000339D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339D2"/>
    <w:pPr>
      <w:tabs>
        <w:tab w:val="center" w:pos="4153"/>
        <w:tab w:val="right" w:pos="8306"/>
      </w:tabs>
    </w:pPr>
  </w:style>
  <w:style w:type="character" w:customStyle="1" w:styleId="FooterChar">
    <w:name w:val="Footer Char"/>
    <w:basedOn w:val="DefaultParagraphFont"/>
    <w:link w:val="Footer"/>
    <w:uiPriority w:val="99"/>
    <w:rsid w:val="000339D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90359">
      <w:bodyDiv w:val="1"/>
      <w:marLeft w:val="0"/>
      <w:marRight w:val="0"/>
      <w:marTop w:val="0"/>
      <w:marBottom w:val="0"/>
      <w:divBdr>
        <w:top w:val="none" w:sz="0" w:space="0" w:color="auto"/>
        <w:left w:val="none" w:sz="0" w:space="0" w:color="auto"/>
        <w:bottom w:val="none" w:sz="0" w:space="0" w:color="auto"/>
        <w:right w:val="none" w:sz="0" w:space="0" w:color="auto"/>
      </w:divBdr>
    </w:div>
    <w:div w:id="1087726215">
      <w:bodyDiv w:val="1"/>
      <w:marLeft w:val="0"/>
      <w:marRight w:val="0"/>
      <w:marTop w:val="0"/>
      <w:marBottom w:val="0"/>
      <w:divBdr>
        <w:top w:val="none" w:sz="0" w:space="0" w:color="auto"/>
        <w:left w:val="none" w:sz="0" w:space="0" w:color="auto"/>
        <w:bottom w:val="none" w:sz="0" w:space="0" w:color="auto"/>
        <w:right w:val="none" w:sz="0" w:space="0" w:color="auto"/>
      </w:divBdr>
    </w:div>
    <w:div w:id="1444688944">
      <w:bodyDiv w:val="1"/>
      <w:marLeft w:val="0"/>
      <w:marRight w:val="0"/>
      <w:marTop w:val="0"/>
      <w:marBottom w:val="0"/>
      <w:divBdr>
        <w:top w:val="none" w:sz="0" w:space="0" w:color="auto"/>
        <w:left w:val="none" w:sz="0" w:space="0" w:color="auto"/>
        <w:bottom w:val="none" w:sz="0" w:space="0" w:color="auto"/>
        <w:right w:val="none" w:sz="0" w:space="0" w:color="auto"/>
      </w:divBdr>
    </w:div>
    <w:div w:id="20486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2342</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Thanosbcross</dc:creator>
  <cp:keywords/>
  <dc:description/>
  <cp:lastModifiedBy>Stella Pissaridou</cp:lastModifiedBy>
  <cp:revision>6</cp:revision>
  <dcterms:created xsi:type="dcterms:W3CDTF">2020-03-23T08:15:00Z</dcterms:created>
  <dcterms:modified xsi:type="dcterms:W3CDTF">2020-03-23T08:17:00Z</dcterms:modified>
</cp:coreProperties>
</file>